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760" w:rsidRPr="00CB5CB1" w:rsidRDefault="00793760" w:rsidP="00793760">
      <w:pPr>
        <w:pStyle w:val="Pieddepage"/>
        <w:tabs>
          <w:tab w:val="clear" w:pos="4536"/>
          <w:tab w:val="clear" w:pos="9072"/>
          <w:tab w:val="left" w:pos="5260"/>
        </w:tabs>
        <w:jc w:val="both"/>
        <w:rPr>
          <w:rFonts w:ascii="Palatino Linotype" w:hAnsi="Palatino Linotype" w:cs="Arial"/>
        </w:rPr>
      </w:pPr>
      <w:r w:rsidRPr="00477CD0">
        <w:rPr>
          <w:rFonts w:ascii="Bodoni MT Black" w:hAnsi="Bodoni MT Black"/>
          <w:b/>
          <w:i/>
          <w:noProof/>
          <w:sz w:val="28"/>
          <w:szCs w:val="28"/>
          <w:shd w:val="clear" w:color="auto" w:fill="EAEAE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E8D616" wp14:editId="1F69DB24">
                <wp:simplePos x="0" y="0"/>
                <wp:positionH relativeFrom="margin">
                  <wp:posOffset>14605</wp:posOffset>
                </wp:positionH>
                <wp:positionV relativeFrom="paragraph">
                  <wp:posOffset>-242569</wp:posOffset>
                </wp:positionV>
                <wp:extent cx="5648325" cy="952500"/>
                <wp:effectExtent l="0" t="76200" r="104775" b="19050"/>
                <wp:wrapNone/>
                <wp:docPr id="1" name="Organigramme : Alternati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952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93760" w:rsidRPr="00793760" w:rsidRDefault="00793760" w:rsidP="00793760">
                            <w:pPr>
                              <w:pStyle w:val="Titre3"/>
                              <w:rPr>
                                <w:caps/>
                                <w:sz w:val="36"/>
                                <w:szCs w:val="24"/>
                                <w:shd w:val="clear" w:color="auto" w:fill="auto"/>
                              </w:rPr>
                            </w:pPr>
                            <w:r w:rsidRPr="00793760">
                              <w:rPr>
                                <w:caps/>
                                <w:sz w:val="36"/>
                                <w:szCs w:val="24"/>
                                <w:shd w:val="clear" w:color="auto" w:fill="auto"/>
                              </w:rPr>
                              <w:t>Clauses compromissoires faisant référence au Règlement d’arbitrage du CAMC-O</w:t>
                            </w:r>
                          </w:p>
                          <w:p w:rsidR="00793760" w:rsidRPr="0060703F" w:rsidRDefault="00793760" w:rsidP="007937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E8D616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6" type="#_x0000_t176" style="position:absolute;left:0;text-align:left;margin-left:1.15pt;margin-top:-19.1pt;width:444.7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">
                <v:shadow on="t" opacity=".5" offset="6pt,-6pt"/>
                <v:textbox>
                  <w:txbxContent>
                    <w:p w:rsidR="00793760" w:rsidRPr="00793760" w:rsidRDefault="00793760" w:rsidP="00793760">
                      <w:pPr>
                        <w:pStyle w:val="Titre3"/>
                        <w:rPr>
                          <w:caps/>
                          <w:sz w:val="36"/>
                          <w:szCs w:val="24"/>
                          <w:shd w:val="clear" w:color="auto" w:fill="auto"/>
                        </w:rPr>
                      </w:pPr>
                      <w:r w:rsidRPr="00793760">
                        <w:rPr>
                          <w:caps/>
                          <w:sz w:val="36"/>
                          <w:szCs w:val="24"/>
                          <w:shd w:val="clear" w:color="auto" w:fill="auto"/>
                        </w:rPr>
                        <w:t>Clauses compromissoires faisant référence au Règlement d’arbitrage du CAMC-O</w:t>
                      </w:r>
                    </w:p>
                    <w:p w:rsidR="00793760" w:rsidRPr="0060703F" w:rsidRDefault="00793760" w:rsidP="00793760"/>
                  </w:txbxContent>
                </v:textbox>
                <w10:wrap anchorx="margin"/>
              </v:shape>
            </w:pict>
          </mc:Fallback>
        </mc:AlternateContent>
      </w:r>
    </w:p>
    <w:p w:rsidR="00793760" w:rsidRPr="00005057" w:rsidRDefault="00793760" w:rsidP="00793760">
      <w:pPr>
        <w:tabs>
          <w:tab w:val="left" w:pos="2180"/>
        </w:tabs>
        <w:ind w:left="360"/>
        <w:rPr>
          <w:rFonts w:ascii="Bodoni MT Black" w:hAnsi="Bodoni MT Black"/>
          <w:b/>
          <w:i/>
          <w:sz w:val="28"/>
          <w:szCs w:val="28"/>
        </w:rPr>
      </w:pPr>
    </w:p>
    <w:p w:rsidR="00793760" w:rsidRDefault="00793760" w:rsidP="00793760">
      <w:pPr>
        <w:tabs>
          <w:tab w:val="left" w:pos="2180"/>
        </w:tabs>
        <w:ind w:left="360"/>
        <w:rPr>
          <w:rFonts w:ascii="Bodoni MT Black" w:hAnsi="Bodoni MT Black"/>
          <w:b/>
          <w:i/>
          <w:sz w:val="28"/>
          <w:szCs w:val="28"/>
        </w:rPr>
      </w:pPr>
    </w:p>
    <w:p w:rsidR="00793760" w:rsidRDefault="00793760" w:rsidP="00793760">
      <w:pPr>
        <w:tabs>
          <w:tab w:val="left" w:pos="2180"/>
        </w:tabs>
        <w:rPr>
          <w:rFonts w:ascii="Bodoni MT Black" w:hAnsi="Bodoni MT Black"/>
          <w:b/>
          <w:i/>
          <w:sz w:val="28"/>
          <w:szCs w:val="28"/>
        </w:rPr>
      </w:pPr>
    </w:p>
    <w:p w:rsidR="00793760" w:rsidRPr="00793760" w:rsidRDefault="00793760" w:rsidP="00793760">
      <w:pPr>
        <w:tabs>
          <w:tab w:val="left" w:pos="2180"/>
        </w:tabs>
        <w:ind w:left="360"/>
        <w:rPr>
          <w:rFonts w:ascii="Bodoni MT Black" w:hAnsi="Bodoni MT Black"/>
          <w:b/>
          <w:i/>
          <w:sz w:val="22"/>
          <w:szCs w:val="28"/>
        </w:rPr>
      </w:pPr>
    </w:p>
    <w:p w:rsidR="00793760" w:rsidRPr="00793760" w:rsidRDefault="00793760" w:rsidP="00793760">
      <w:pPr>
        <w:tabs>
          <w:tab w:val="left" w:pos="2180"/>
        </w:tabs>
        <w:ind w:left="360"/>
        <w:rPr>
          <w:rFonts w:ascii="Bodoni MT Black" w:hAnsi="Bodoni MT Black"/>
          <w:b/>
          <w:i/>
          <w:sz w:val="20"/>
          <w:szCs w:val="28"/>
        </w:rPr>
      </w:pPr>
    </w:p>
    <w:p w:rsidR="00793760" w:rsidRPr="00477CD0" w:rsidRDefault="00793760" w:rsidP="00793760">
      <w:pPr>
        <w:numPr>
          <w:ilvl w:val="0"/>
          <w:numId w:val="1"/>
        </w:numPr>
        <w:tabs>
          <w:tab w:val="left" w:pos="2180"/>
        </w:tabs>
        <w:rPr>
          <w:rFonts w:ascii="Bodoni MT Black" w:hAnsi="Bodoni MT Black"/>
          <w:b/>
          <w:i/>
          <w:sz w:val="28"/>
          <w:szCs w:val="28"/>
        </w:rPr>
      </w:pPr>
      <w:r>
        <w:rPr>
          <w:rFonts w:ascii="Bodoni MT Black" w:hAnsi="Bodoni MT Black"/>
          <w:b/>
          <w:i/>
          <w:sz w:val="28"/>
          <w:szCs w:val="28"/>
          <w:shd w:val="clear" w:color="auto" w:fill="EAEAEA"/>
        </w:rPr>
        <w:t>Clause type d’arbitrage simple :</w:t>
      </w:r>
    </w:p>
    <w:p w:rsidR="00793760" w:rsidRPr="0082526E" w:rsidRDefault="00793760" w:rsidP="00793760">
      <w:pPr>
        <w:tabs>
          <w:tab w:val="left" w:pos="2180"/>
        </w:tabs>
        <w:ind w:left="360"/>
        <w:rPr>
          <w:rFonts w:ascii="Palatino Linotype" w:hAnsi="Palatino Linotype"/>
          <w:b/>
        </w:rPr>
      </w:pPr>
    </w:p>
    <w:p w:rsidR="00793760" w:rsidRPr="00793760" w:rsidRDefault="00793760" w:rsidP="00793760">
      <w:pPr>
        <w:jc w:val="both"/>
        <w:rPr>
          <w:rFonts w:ascii="Palatino Linotype" w:hAnsi="Palatino Linotype"/>
          <w:b/>
          <w:i/>
          <w:sz w:val="28"/>
        </w:rPr>
      </w:pPr>
      <w:r>
        <w:rPr>
          <w:rFonts w:ascii="Palatino Linotype" w:hAnsi="Palatino Linotype"/>
          <w:sz w:val="28"/>
        </w:rPr>
        <w:t>«</w:t>
      </w:r>
      <w:r w:rsidRPr="00793760">
        <w:rPr>
          <w:rFonts w:ascii="Palatino Linotype" w:hAnsi="Palatino Linotype"/>
          <w:b/>
          <w:i/>
          <w:sz w:val="28"/>
        </w:rPr>
        <w:t xml:space="preserve">Tout différend </w:t>
      </w:r>
      <w:r>
        <w:rPr>
          <w:rFonts w:ascii="Palatino Linotype" w:hAnsi="Palatino Linotype"/>
          <w:b/>
          <w:i/>
          <w:sz w:val="28"/>
        </w:rPr>
        <w:t>né</w:t>
      </w:r>
      <w:r w:rsidRPr="00793760">
        <w:rPr>
          <w:rFonts w:ascii="Palatino Linotype" w:hAnsi="Palatino Linotype"/>
          <w:b/>
          <w:i/>
          <w:sz w:val="28"/>
        </w:rPr>
        <w:t xml:space="preserve"> à l’occasion du présent contrat ou en relation avec celui-ci sera tranché p</w:t>
      </w:r>
      <w:r>
        <w:rPr>
          <w:rFonts w:ascii="Palatino Linotype" w:hAnsi="Palatino Linotype"/>
          <w:b/>
          <w:i/>
          <w:sz w:val="28"/>
        </w:rPr>
        <w:t>ar voie d’arbitrage suivant le Règlement d’A</w:t>
      </w:r>
      <w:r w:rsidRPr="00793760">
        <w:rPr>
          <w:rFonts w:ascii="Palatino Linotype" w:hAnsi="Palatino Linotype"/>
          <w:b/>
          <w:i/>
          <w:sz w:val="28"/>
        </w:rPr>
        <w:t>rbitrage du Centre d’Arbitrage, de Médiation et de Conciliation de Ouagadougou (CAMC-O)</w:t>
      </w:r>
      <w:r w:rsidRPr="00793760">
        <w:rPr>
          <w:rFonts w:ascii="Palatino Linotype" w:hAnsi="Palatino Linotype"/>
          <w:sz w:val="28"/>
        </w:rPr>
        <w:t>».</w:t>
      </w:r>
    </w:p>
    <w:p w:rsidR="00793760" w:rsidRDefault="00793760" w:rsidP="00793760">
      <w:pPr>
        <w:jc w:val="both"/>
        <w:rPr>
          <w:rFonts w:ascii="Palatino Linotype" w:hAnsi="Palatino Linotype"/>
        </w:rPr>
      </w:pPr>
    </w:p>
    <w:p w:rsidR="00793760" w:rsidRDefault="00793760" w:rsidP="00793760">
      <w:pPr>
        <w:jc w:val="both"/>
        <w:rPr>
          <w:rFonts w:ascii="Palatino Linotype" w:hAnsi="Palatino Linotype"/>
        </w:rPr>
      </w:pPr>
    </w:p>
    <w:p w:rsidR="00793760" w:rsidRPr="00793760" w:rsidRDefault="00793760" w:rsidP="00793760">
      <w:pPr>
        <w:numPr>
          <w:ilvl w:val="0"/>
          <w:numId w:val="1"/>
        </w:numPr>
        <w:tabs>
          <w:tab w:val="left" w:pos="2180"/>
        </w:tabs>
        <w:rPr>
          <w:rFonts w:ascii="Bodoni MT Black" w:hAnsi="Bodoni MT Black"/>
          <w:b/>
          <w:i/>
          <w:sz w:val="28"/>
          <w:szCs w:val="28"/>
          <w:shd w:val="clear" w:color="auto" w:fill="EAEAEA"/>
        </w:rPr>
      </w:pPr>
      <w:r>
        <w:rPr>
          <w:rFonts w:ascii="Bodoni MT Black" w:hAnsi="Bodoni MT Black"/>
          <w:b/>
          <w:i/>
          <w:sz w:val="28"/>
          <w:szCs w:val="28"/>
          <w:shd w:val="clear" w:color="auto" w:fill="EAEAEA"/>
        </w:rPr>
        <w:t xml:space="preserve">Clause type d’arbitrage faisant recours à une  </w:t>
      </w:r>
      <w:r w:rsidRPr="00793760">
        <w:rPr>
          <w:rFonts w:ascii="Bodoni MT Black" w:hAnsi="Bodoni MT Black"/>
          <w:b/>
          <w:i/>
          <w:sz w:val="28"/>
          <w:szCs w:val="28"/>
          <w:shd w:val="clear" w:color="auto" w:fill="EAEAEA"/>
        </w:rPr>
        <w:t>médiation préalable</w:t>
      </w:r>
      <w:r>
        <w:rPr>
          <w:rFonts w:ascii="Bodoni MT Black" w:hAnsi="Bodoni MT Black"/>
          <w:b/>
          <w:i/>
          <w:sz w:val="28"/>
          <w:szCs w:val="28"/>
          <w:shd w:val="clear" w:color="auto" w:fill="EAEAEA"/>
        </w:rPr>
        <w:t xml:space="preserve"> du CAMC-O</w:t>
      </w:r>
    </w:p>
    <w:p w:rsidR="00793760" w:rsidRDefault="00793760" w:rsidP="00793760">
      <w:pPr>
        <w:jc w:val="both"/>
        <w:rPr>
          <w:rFonts w:ascii="Bodoni MT Black" w:hAnsi="Bodoni MT Black"/>
          <w:b/>
          <w:i/>
          <w:sz w:val="28"/>
          <w:szCs w:val="28"/>
          <w:shd w:val="clear" w:color="auto" w:fill="EAEAEA"/>
        </w:rPr>
      </w:pPr>
    </w:p>
    <w:p w:rsidR="00793760" w:rsidRPr="00793760" w:rsidRDefault="00793760" w:rsidP="00793760">
      <w:pPr>
        <w:jc w:val="both"/>
        <w:rPr>
          <w:rFonts w:ascii="Palatino Linotype" w:hAnsi="Palatino Linotype"/>
          <w:b/>
          <w:i/>
          <w:sz w:val="28"/>
        </w:rPr>
      </w:pPr>
      <w:r w:rsidRPr="00CA3F70">
        <w:rPr>
          <w:rFonts w:ascii="Palatino Linotype" w:hAnsi="Palatino Linotype"/>
        </w:rPr>
        <w:t>« </w:t>
      </w:r>
      <w:r w:rsidRPr="00793760">
        <w:rPr>
          <w:rFonts w:ascii="Palatino Linotype" w:hAnsi="Palatino Linotype"/>
          <w:b/>
          <w:i/>
          <w:sz w:val="28"/>
        </w:rPr>
        <w:t xml:space="preserve">Tout différend </w:t>
      </w:r>
      <w:r>
        <w:rPr>
          <w:rFonts w:ascii="Palatino Linotype" w:hAnsi="Palatino Linotype"/>
          <w:b/>
          <w:i/>
          <w:sz w:val="28"/>
        </w:rPr>
        <w:t>né</w:t>
      </w:r>
      <w:r w:rsidRPr="00793760">
        <w:rPr>
          <w:rFonts w:ascii="Palatino Linotype" w:hAnsi="Palatino Linotype"/>
          <w:b/>
          <w:i/>
          <w:sz w:val="28"/>
        </w:rPr>
        <w:t xml:space="preserve"> à l’occasion du présent contrat ou en relation avec celui-ci sera préalablement soumis à la procédure de médiation prévue par le règlement de médiation du Centre d’Arbitrage, de Médiation et de Conciliation de Ouagadougou (CAMC-O).</w:t>
      </w:r>
    </w:p>
    <w:p w:rsidR="00793760" w:rsidRPr="00793760" w:rsidRDefault="00793760" w:rsidP="00793760">
      <w:pPr>
        <w:jc w:val="both"/>
        <w:rPr>
          <w:rFonts w:ascii="Palatino Linotype" w:hAnsi="Palatino Linotype"/>
          <w:b/>
          <w:i/>
          <w:sz w:val="28"/>
        </w:rPr>
      </w:pPr>
    </w:p>
    <w:p w:rsidR="00793760" w:rsidRPr="00CA3F70" w:rsidRDefault="00793760" w:rsidP="00793760">
      <w:pPr>
        <w:jc w:val="both"/>
        <w:rPr>
          <w:rFonts w:ascii="Palatino Linotype" w:hAnsi="Palatino Linotype"/>
        </w:rPr>
      </w:pPr>
      <w:r w:rsidRPr="00793760">
        <w:rPr>
          <w:rFonts w:ascii="Palatino Linotype" w:hAnsi="Palatino Linotype"/>
          <w:b/>
          <w:i/>
          <w:sz w:val="28"/>
        </w:rPr>
        <w:t>En cas d’échec de celle-ci</w:t>
      </w:r>
      <w:r w:rsidR="00733FE0">
        <w:rPr>
          <w:rFonts w:ascii="Palatino Linotype" w:hAnsi="Palatino Linotype"/>
          <w:b/>
          <w:i/>
          <w:sz w:val="28"/>
        </w:rPr>
        <w:t xml:space="preserve">, ledit </w:t>
      </w:r>
      <w:r w:rsidRPr="00793760">
        <w:rPr>
          <w:rFonts w:ascii="Palatino Linotype" w:hAnsi="Palatino Linotype"/>
          <w:b/>
          <w:i/>
          <w:sz w:val="28"/>
        </w:rPr>
        <w:t>différend sera tranché par voie d’arbitrage</w:t>
      </w:r>
      <w:r w:rsidR="002A2095">
        <w:rPr>
          <w:rFonts w:ascii="Palatino Linotype" w:hAnsi="Palatino Linotype"/>
          <w:b/>
          <w:i/>
          <w:sz w:val="28"/>
        </w:rPr>
        <w:t>,</w:t>
      </w:r>
      <w:bookmarkStart w:id="0" w:name="_GoBack"/>
      <w:bookmarkEnd w:id="0"/>
      <w:r w:rsidRPr="00793760">
        <w:rPr>
          <w:rFonts w:ascii="Palatino Linotype" w:hAnsi="Palatino Linotype"/>
          <w:b/>
          <w:i/>
          <w:sz w:val="28"/>
        </w:rPr>
        <w:t xml:space="preserve"> suivant le règlement d’arbitrage du CAMC-O</w:t>
      </w:r>
      <w:r>
        <w:rPr>
          <w:rFonts w:ascii="Palatino Linotype" w:hAnsi="Palatino Linotype"/>
        </w:rPr>
        <w:t> »</w:t>
      </w:r>
      <w:r w:rsidRPr="00CA3F70">
        <w:rPr>
          <w:rFonts w:ascii="Palatino Linotype" w:hAnsi="Palatino Linotype"/>
        </w:rPr>
        <w:t>.</w:t>
      </w:r>
    </w:p>
    <w:p w:rsidR="00793760" w:rsidRDefault="00793760" w:rsidP="00793760">
      <w:pPr>
        <w:jc w:val="both"/>
        <w:rPr>
          <w:rFonts w:ascii="Palatino Linotype" w:hAnsi="Palatino Linotype"/>
        </w:rPr>
      </w:pPr>
    </w:p>
    <w:p w:rsidR="00793760" w:rsidRPr="00CB5CB1" w:rsidRDefault="00793760" w:rsidP="00793760">
      <w:pPr>
        <w:rPr>
          <w:rFonts w:ascii="Palatino Linotype" w:hAnsi="Palatino Linotype"/>
        </w:rPr>
      </w:pPr>
    </w:p>
    <w:p w:rsidR="00793760" w:rsidRPr="00733FE0" w:rsidRDefault="00793760" w:rsidP="00793760">
      <w:pPr>
        <w:jc w:val="both"/>
        <w:rPr>
          <w:rFonts w:ascii="Palatino Linotype" w:hAnsi="Palatino Linotype"/>
          <w:b/>
          <w:bCs/>
          <w:i/>
          <w:iCs/>
          <w:color w:val="FF0000"/>
          <w:sz w:val="32"/>
        </w:rPr>
      </w:pPr>
      <w:r w:rsidRPr="00733FE0">
        <w:rPr>
          <w:rFonts w:ascii="Palatino Linotype" w:hAnsi="Palatino Linotype" w:cs="Tahoma"/>
          <w:b/>
          <w:bCs/>
          <w:i/>
          <w:iCs/>
          <w:color w:val="FF0000"/>
          <w:sz w:val="32"/>
          <w:u w:val="single"/>
        </w:rPr>
        <w:t>NB :</w:t>
      </w:r>
      <w:r w:rsidRPr="00733FE0">
        <w:rPr>
          <w:rFonts w:ascii="Palatino Linotype" w:hAnsi="Palatino Linotype" w:cs="Tahoma"/>
          <w:b/>
          <w:bCs/>
          <w:i/>
          <w:iCs/>
          <w:color w:val="FF0000"/>
          <w:sz w:val="32"/>
        </w:rPr>
        <w:t xml:space="preserve"> </w:t>
      </w:r>
      <w:r w:rsidRPr="00733FE0">
        <w:rPr>
          <w:rFonts w:ascii="Palatino Linotype" w:hAnsi="Palatino Linotype"/>
          <w:b/>
          <w:bCs/>
          <w:i/>
          <w:iCs/>
          <w:color w:val="FF0000"/>
          <w:sz w:val="32"/>
        </w:rPr>
        <w:t>Les parties pourront choisir librement une des clauses pour insertion</w:t>
      </w:r>
      <w:r w:rsidR="00733FE0">
        <w:rPr>
          <w:rFonts w:ascii="Palatino Linotype" w:hAnsi="Palatino Linotype"/>
          <w:b/>
          <w:bCs/>
          <w:i/>
          <w:iCs/>
          <w:color w:val="FF0000"/>
          <w:sz w:val="32"/>
        </w:rPr>
        <w:t xml:space="preserve"> dans leur </w:t>
      </w:r>
      <w:r w:rsidRPr="00733FE0">
        <w:rPr>
          <w:rFonts w:ascii="Palatino Linotype" w:hAnsi="Palatino Linotype"/>
          <w:b/>
          <w:bCs/>
          <w:i/>
          <w:iCs/>
          <w:color w:val="FF0000"/>
          <w:sz w:val="32"/>
        </w:rPr>
        <w:t>contrat.</w:t>
      </w:r>
    </w:p>
    <w:p w:rsidR="00793760" w:rsidRDefault="00793760" w:rsidP="00793760">
      <w:pPr>
        <w:jc w:val="both"/>
        <w:rPr>
          <w:rFonts w:ascii="Palatino Linotype" w:hAnsi="Palatino Linotype"/>
          <w:b/>
          <w:bCs/>
          <w:i/>
          <w:iCs/>
        </w:rPr>
      </w:pPr>
    </w:p>
    <w:p w:rsidR="00793760" w:rsidRDefault="00793760" w:rsidP="00793760">
      <w:pPr>
        <w:jc w:val="both"/>
        <w:rPr>
          <w:rFonts w:ascii="Palatino Linotype" w:hAnsi="Palatino Linotype"/>
          <w:b/>
          <w:bCs/>
          <w:i/>
          <w:iCs/>
        </w:rPr>
      </w:pPr>
    </w:p>
    <w:p w:rsidR="008D4ED0" w:rsidRDefault="008D4ED0"/>
    <w:sectPr w:rsidR="008D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02595"/>
    <w:multiLevelType w:val="hybridMultilevel"/>
    <w:tmpl w:val="8156607A"/>
    <w:lvl w:ilvl="0" w:tplc="8C40EAA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60"/>
    <w:rsid w:val="002A2095"/>
    <w:rsid w:val="00733FE0"/>
    <w:rsid w:val="00793760"/>
    <w:rsid w:val="008D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E01A"/>
  <w15:chartTrackingRefBased/>
  <w15:docId w15:val="{C3332AC9-BE49-4F2B-A55C-EDC129A9E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60"/>
    <w:rPr>
      <w:rFonts w:ascii="Times New Roman" w:eastAsia="Times New Roman" w:hAnsi="Times New Roman" w:cs="Times New Roman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793760"/>
    <w:pPr>
      <w:keepNext/>
      <w:jc w:val="center"/>
      <w:outlineLvl w:val="2"/>
    </w:pPr>
    <w:rPr>
      <w:rFonts w:ascii="Georgia" w:hAnsi="Georgia"/>
      <w:b/>
      <w:bCs/>
      <w:i/>
      <w:iCs/>
      <w:sz w:val="40"/>
      <w:szCs w:val="32"/>
      <w:shd w:val="clear" w:color="auto" w:fill="EAEAE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793760"/>
    <w:rPr>
      <w:rFonts w:ascii="Georgia" w:eastAsia="Times New Roman" w:hAnsi="Georgia" w:cs="Times New Roman"/>
      <w:b/>
      <w:bCs/>
      <w:i/>
      <w:iCs/>
      <w:sz w:val="40"/>
      <w:szCs w:val="32"/>
      <w:lang w:eastAsia="fr-FR"/>
    </w:rPr>
  </w:style>
  <w:style w:type="paragraph" w:styleId="Pieddepage">
    <w:name w:val="footer"/>
    <w:basedOn w:val="Normal"/>
    <w:link w:val="PieddepageCar"/>
    <w:uiPriority w:val="99"/>
    <w:rsid w:val="007937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3760"/>
    <w:rPr>
      <w:rFonts w:ascii="Times New Roman" w:eastAsia="Times New Roman" w:hAnsi="Times New Roman" w:cs="Times New Roman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Drissa COULIBALY</cp:lastModifiedBy>
  <cp:revision>2</cp:revision>
  <dcterms:created xsi:type="dcterms:W3CDTF">2022-12-19T09:41:00Z</dcterms:created>
  <dcterms:modified xsi:type="dcterms:W3CDTF">2022-12-21T17:58:00Z</dcterms:modified>
</cp:coreProperties>
</file>