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CED90" w14:textId="77777777" w:rsidR="007D4FF8" w:rsidRPr="00D70DC1" w:rsidRDefault="007D4FF8" w:rsidP="007D4FF8">
      <w:pPr>
        <w:spacing w:after="0" w:line="240" w:lineRule="auto"/>
        <w:rPr>
          <w:rFonts w:ascii="Microsoft Sans Serif" w:eastAsia="Times New Roman" w:hAnsi="Microsoft Sans Serif" w:cs="Microsoft Sans Serif"/>
          <w:color w:val="008000"/>
          <w:kern w:val="0"/>
          <w:sz w:val="20"/>
          <w:szCs w:val="24"/>
          <w:lang w:eastAsia="fr-FR"/>
          <w14:ligatures w14:val="none"/>
        </w:rPr>
      </w:pPr>
      <w:r w:rsidRPr="00D70DC1">
        <w:rPr>
          <w:rFonts w:ascii="Microsoft Sans Serif" w:eastAsia="Times New Roman" w:hAnsi="Microsoft Sans Serif" w:cs="Microsoft Sans Serif"/>
          <w:b/>
          <w:bCs/>
          <w:noProof/>
          <w:color w:val="008000"/>
          <w:kern w:val="0"/>
          <w:sz w:val="20"/>
          <w:szCs w:val="24"/>
          <w:lang w:eastAsia="fr-FR"/>
          <w14:ligatures w14:val="none"/>
        </w:rPr>
        <w:drawing>
          <wp:anchor distT="0" distB="0" distL="114300" distR="114300" simplePos="0" relativeHeight="251660288" behindDoc="1" locked="0" layoutInCell="1" allowOverlap="1" wp14:anchorId="6324A67F" wp14:editId="101445A2">
            <wp:simplePos x="0" y="0"/>
            <wp:positionH relativeFrom="column">
              <wp:posOffset>5848350</wp:posOffset>
            </wp:positionH>
            <wp:positionV relativeFrom="paragraph">
              <wp:posOffset>107950</wp:posOffset>
            </wp:positionV>
            <wp:extent cx="939800" cy="781050"/>
            <wp:effectExtent l="0" t="0" r="0" b="0"/>
            <wp:wrapTight wrapText="bothSides">
              <wp:wrapPolygon edited="0">
                <wp:start x="0" y="0"/>
                <wp:lineTo x="0" y="21073"/>
                <wp:lineTo x="21016" y="21073"/>
                <wp:lineTo x="21016" y="0"/>
                <wp:lineTo x="0" y="0"/>
              </wp:wrapPolygon>
            </wp:wrapTight>
            <wp:docPr id="18" name="Image 18" descr="Une image contenant texte, logo, Police,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descr="Une image contenant texte, logo, Police, symbole&#10;&#10;Le contenu généré par l’IA peut êtr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9800" cy="781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72656F" w14:textId="77777777" w:rsidR="007D4FF8" w:rsidRPr="00D70DC1" w:rsidRDefault="007D4FF8" w:rsidP="007D4FF8">
      <w:pPr>
        <w:spacing w:after="0" w:line="240" w:lineRule="auto"/>
        <w:rPr>
          <w:rFonts w:ascii="Microsoft Sans Serif" w:eastAsia="Times New Roman" w:hAnsi="Microsoft Sans Serif" w:cs="Microsoft Sans Serif"/>
          <w:color w:val="008000"/>
          <w:kern w:val="0"/>
          <w:sz w:val="20"/>
          <w:szCs w:val="24"/>
          <w:lang w:eastAsia="fr-FR"/>
          <w14:ligatures w14:val="none"/>
        </w:rPr>
      </w:pPr>
      <w:r w:rsidRPr="00D70DC1">
        <w:rPr>
          <w:rFonts w:ascii="Microsoft Sans Serif" w:eastAsia="Times New Roman" w:hAnsi="Microsoft Sans Serif" w:cs="Microsoft Sans Serif"/>
          <w:noProof/>
          <w:color w:val="008000"/>
          <w:kern w:val="0"/>
          <w:sz w:val="20"/>
          <w:szCs w:val="24"/>
          <w:lang w:eastAsia="fr-FR"/>
          <w14:ligatures w14:val="none"/>
        </w:rPr>
        <mc:AlternateContent>
          <mc:Choice Requires="wps">
            <w:drawing>
              <wp:anchor distT="0" distB="0" distL="114300" distR="114300" simplePos="0" relativeHeight="251659264" behindDoc="0" locked="0" layoutInCell="1" allowOverlap="1" wp14:anchorId="74C0161D" wp14:editId="081D5491">
                <wp:simplePos x="0" y="0"/>
                <wp:positionH relativeFrom="column">
                  <wp:posOffset>1104900</wp:posOffset>
                </wp:positionH>
                <wp:positionV relativeFrom="paragraph">
                  <wp:posOffset>4445</wp:posOffset>
                </wp:positionV>
                <wp:extent cx="4514850" cy="812800"/>
                <wp:effectExtent l="0" t="0" r="19050" b="25400"/>
                <wp:wrapNone/>
                <wp:docPr id="17" name="Parchemin horizont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0" cy="812800"/>
                        </a:xfrm>
                        <a:prstGeom prst="horizontalScroll">
                          <a:avLst>
                            <a:gd name="adj" fmla="val 12500"/>
                          </a:avLst>
                        </a:prstGeom>
                        <a:solidFill>
                          <a:srgbClr val="FFFFFF"/>
                        </a:solidFill>
                        <a:ln w="9525">
                          <a:solidFill>
                            <a:srgbClr val="000000"/>
                          </a:solidFill>
                          <a:round/>
                          <a:headEnd/>
                          <a:tailEnd/>
                        </a:ln>
                      </wps:spPr>
                      <wps:txbx>
                        <w:txbxContent>
                          <w:p w14:paraId="1A9FEFF1" w14:textId="77777777" w:rsidR="007D4FF8" w:rsidRPr="00A2232B" w:rsidRDefault="007D4FF8" w:rsidP="007D4FF8">
                            <w:pPr>
                              <w:jc w:val="center"/>
                              <w:rPr>
                                <w:rFonts w:ascii="Palatino Linotype" w:hAnsi="Palatino Linotype"/>
                                <w:b/>
                                <w:i/>
                                <w:sz w:val="30"/>
                                <w:szCs w:val="30"/>
                              </w:rPr>
                            </w:pPr>
                            <w:r w:rsidRPr="00A2232B">
                              <w:rPr>
                                <w:rFonts w:ascii="Palatino Linotype" w:hAnsi="Palatino Linotype"/>
                                <w:b/>
                                <w:i/>
                                <w:sz w:val="30"/>
                                <w:szCs w:val="30"/>
                              </w:rPr>
                              <w:t>Centre d’Arbitrage, de Médiation et de Conciliation de Ouagadougou (CAMC-O)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C0161D"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7" o:spid="_x0000_s1026" type="#_x0000_t98" style="position:absolute;margin-left:87pt;margin-top:.35pt;width:355.5pt;height: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">
                <v:textbox>
                  <w:txbxContent>
                    <w:p w14:paraId="1A9FEFF1" w14:textId="77777777" w:rsidR="007D4FF8" w:rsidRPr="00A2232B" w:rsidRDefault="007D4FF8" w:rsidP="007D4FF8">
                      <w:pPr>
                        <w:jc w:val="center"/>
                        <w:rPr>
                          <w:rFonts w:ascii="Palatino Linotype" w:hAnsi="Palatino Linotype"/>
                          <w:b/>
                          <w:i/>
                          <w:sz w:val="30"/>
                          <w:szCs w:val="30"/>
                        </w:rPr>
                      </w:pPr>
                      <w:r w:rsidRPr="00A2232B">
                        <w:rPr>
                          <w:rFonts w:ascii="Palatino Linotype" w:hAnsi="Palatino Linotype"/>
                          <w:b/>
                          <w:i/>
                          <w:sz w:val="30"/>
                          <w:szCs w:val="30"/>
                        </w:rPr>
                        <w:t>Centre d’Arbitrage, de Médiation et de Conciliation de Ouagadougou (CAMC-O)</w:t>
                      </w:r>
                    </w:p>
                  </w:txbxContent>
                </v:textbox>
              </v:shape>
            </w:pict>
          </mc:Fallback>
        </mc:AlternateContent>
      </w:r>
      <w:r w:rsidRPr="00D70DC1">
        <w:rPr>
          <w:rFonts w:ascii="Microsoft Sans Serif" w:eastAsia="Times New Roman" w:hAnsi="Microsoft Sans Serif" w:cs="Microsoft Sans Serif"/>
          <w:noProof/>
          <w:color w:val="008000"/>
          <w:kern w:val="0"/>
          <w:sz w:val="20"/>
          <w:szCs w:val="24"/>
          <w:lang w:eastAsia="fr-FR"/>
          <w14:ligatures w14:val="none"/>
        </w:rPr>
        <w:drawing>
          <wp:inline distT="0" distB="0" distL="0" distR="0" wp14:anchorId="6842063B" wp14:editId="47F5F12E">
            <wp:extent cx="970915" cy="717550"/>
            <wp:effectExtent l="0" t="0" r="635" b="6350"/>
            <wp:docPr id="6" name="Image 5" descr="Une image contenant Police, Graphique, logo, clipart&#10;&#10;Le contenu généré par l’IA peut être incorrect.">
              <a:extLst xmlns:a="http://schemas.openxmlformats.org/drawingml/2006/main">
                <a:ext uri="{FF2B5EF4-FFF2-40B4-BE49-F238E27FC236}">
                  <a16:creationId xmlns:a16="http://schemas.microsoft.com/office/drawing/2014/main" id="{998D5B94-78A5-59C9-269A-FBB505A322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descr="Une image contenant Police, Graphique, logo, clipart&#10;&#10;Le contenu généré par l’IA peut être incorrect.">
                      <a:extLst>
                        <a:ext uri="{FF2B5EF4-FFF2-40B4-BE49-F238E27FC236}">
                          <a16:creationId xmlns:a16="http://schemas.microsoft.com/office/drawing/2014/main" id="{998D5B94-78A5-59C9-269A-FBB505A3228D}"/>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1341" cy="725255"/>
                    </a:xfrm>
                    <a:prstGeom prst="rect">
                      <a:avLst/>
                    </a:prstGeom>
                    <a:noFill/>
                    <a:ln>
                      <a:noFill/>
                    </a:ln>
                  </pic:spPr>
                </pic:pic>
              </a:graphicData>
            </a:graphic>
          </wp:inline>
        </w:drawing>
      </w:r>
    </w:p>
    <w:p w14:paraId="0AAA2F0A" w14:textId="77777777" w:rsidR="007D4FF8" w:rsidRPr="00D70DC1" w:rsidRDefault="007D4FF8" w:rsidP="007D4FF8">
      <w:pPr>
        <w:spacing w:after="0" w:line="240" w:lineRule="auto"/>
        <w:rPr>
          <w:rFonts w:ascii="Microsoft Sans Serif" w:eastAsia="Times New Roman" w:hAnsi="Microsoft Sans Serif" w:cs="Microsoft Sans Serif"/>
          <w:b/>
          <w:bCs/>
          <w:color w:val="008000"/>
          <w:kern w:val="0"/>
          <w:sz w:val="20"/>
          <w:szCs w:val="24"/>
          <w:lang w:eastAsia="fr-FR"/>
          <w14:ligatures w14:val="none"/>
        </w:rPr>
      </w:pPr>
    </w:p>
    <w:p w14:paraId="3DDB52B2" w14:textId="77777777" w:rsidR="007D4FF8" w:rsidRPr="007D4FF8" w:rsidRDefault="007D4FF8" w:rsidP="007D4FF8">
      <w:pPr>
        <w:spacing w:after="0" w:line="240" w:lineRule="auto"/>
        <w:jc w:val="center"/>
        <w:rPr>
          <w:rFonts w:ascii="Microsoft Sans Serif" w:eastAsia="Times New Roman" w:hAnsi="Microsoft Sans Serif" w:cs="Microsoft Sans Serif"/>
          <w:i/>
          <w:iCs/>
          <w:color w:val="008000"/>
          <w:kern w:val="0"/>
          <w:sz w:val="16"/>
          <w:szCs w:val="16"/>
          <w:lang w:eastAsia="fr-FR"/>
          <w14:ligatures w14:val="none"/>
        </w:rPr>
      </w:pPr>
      <w:r w:rsidRPr="007D4FF8">
        <w:rPr>
          <w:rFonts w:ascii="Microsoft Sans Serif" w:eastAsia="Times New Roman" w:hAnsi="Microsoft Sans Serif" w:cs="Microsoft Sans Serif"/>
          <w:i/>
          <w:iCs/>
          <w:color w:val="008000"/>
          <w:kern w:val="0"/>
          <w:sz w:val="16"/>
          <w:szCs w:val="16"/>
          <w:lang w:eastAsia="fr-FR"/>
          <w14:ligatures w14:val="none"/>
        </w:rPr>
        <w:t>« Une Autre Justice »</w:t>
      </w:r>
    </w:p>
    <w:p w14:paraId="22005C1E" w14:textId="77777777" w:rsidR="007D4FF8" w:rsidRPr="007D4FF8" w:rsidRDefault="007D4FF8" w:rsidP="007D4FF8">
      <w:pPr>
        <w:spacing w:after="0" w:line="240" w:lineRule="auto"/>
        <w:rPr>
          <w:rFonts w:ascii="Microsoft Sans Serif" w:eastAsia="Times New Roman" w:hAnsi="Microsoft Sans Serif" w:cs="Microsoft Sans Serif"/>
          <w:color w:val="008000"/>
          <w:kern w:val="0"/>
          <w:sz w:val="16"/>
          <w:szCs w:val="16"/>
          <w:lang w:eastAsia="fr-FR"/>
          <w14:ligatures w14:val="none"/>
        </w:rPr>
      </w:pPr>
    </w:p>
    <w:p w14:paraId="02DAC27E" w14:textId="77777777" w:rsidR="007D4FF8" w:rsidRPr="00D70DC1" w:rsidRDefault="007D4FF8" w:rsidP="007D4FF8">
      <w:pPr>
        <w:spacing w:after="0" w:line="240" w:lineRule="auto"/>
        <w:rPr>
          <w:rFonts w:ascii="Microsoft Sans Serif" w:eastAsia="Times New Roman" w:hAnsi="Microsoft Sans Serif" w:cs="Microsoft Sans Serif"/>
          <w:b/>
          <w:bCs/>
          <w:kern w:val="0"/>
          <w:sz w:val="20"/>
          <w:szCs w:val="24"/>
          <w:lang w:eastAsia="fr-FR"/>
          <w14:ligatures w14:val="none"/>
        </w:rPr>
      </w:pPr>
      <w:r w:rsidRPr="00D70DC1">
        <w:rPr>
          <w:rFonts w:ascii="Microsoft Sans Serif" w:eastAsia="Times New Roman" w:hAnsi="Microsoft Sans Serif" w:cs="Microsoft Sans Serif"/>
          <w:b/>
          <w:bCs/>
          <w:kern w:val="0"/>
          <w:sz w:val="20"/>
          <w:szCs w:val="24"/>
          <w:lang w:eastAsia="fr-FR"/>
          <w14:ligatures w14:val="none"/>
        </w:rPr>
        <w:t>SECRETARIAT PERMANENT</w:t>
      </w:r>
    </w:p>
    <w:p w14:paraId="6EFC6C36" w14:textId="166B4059" w:rsidR="007D4FF8" w:rsidRPr="007D4FF8" w:rsidRDefault="007D4FF8" w:rsidP="007D4FF8">
      <w:pPr>
        <w:spacing w:after="0" w:line="240" w:lineRule="auto"/>
        <w:rPr>
          <w:rFonts w:ascii="Microsoft Sans Serif" w:eastAsia="Times New Roman" w:hAnsi="Microsoft Sans Serif" w:cs="Microsoft Sans Serif"/>
          <w:color w:val="008000"/>
          <w:kern w:val="0"/>
          <w:sz w:val="20"/>
          <w:szCs w:val="24"/>
          <w:lang w:eastAsia="fr-FR"/>
          <w14:ligatures w14:val="none"/>
        </w:rPr>
      </w:pPr>
      <w:r w:rsidRPr="00D70DC1">
        <w:rPr>
          <w:rFonts w:ascii="Microsoft Sans Serif" w:eastAsia="Times New Roman" w:hAnsi="Microsoft Sans Serif" w:cs="Microsoft Sans Serif"/>
          <w:color w:val="008000"/>
          <w:kern w:val="0"/>
          <w:sz w:val="20"/>
          <w:szCs w:val="24"/>
          <w:lang w:eastAsia="fr-FR"/>
          <w14:ligatures w14:val="none"/>
        </w:rPr>
        <w:tab/>
      </w:r>
    </w:p>
    <w:p w14:paraId="64D03339" w14:textId="7E6B2D9A" w:rsidR="007D4FF8" w:rsidRPr="007D4FF8" w:rsidRDefault="006B70CF" w:rsidP="007D4FF8">
      <w:pPr>
        <w:shd w:val="clear" w:color="auto" w:fill="E7E6E6" w:themeFill="background2"/>
        <w:spacing w:after="0" w:line="240" w:lineRule="auto"/>
        <w:jc w:val="center"/>
        <w:rPr>
          <w:rFonts w:ascii="Times New Roman" w:eastAsia="Times New Roman" w:hAnsi="Times New Roman" w:cs="Times New Roman"/>
          <w:kern w:val="0"/>
          <w:sz w:val="40"/>
          <w:szCs w:val="40"/>
          <w:lang w:eastAsia="fr-FR"/>
          <w14:ligatures w14:val="none"/>
        </w:rPr>
      </w:pPr>
      <w:r>
        <w:rPr>
          <w:rFonts w:ascii="Times New Roman" w:eastAsia="Times New Roman" w:hAnsi="Times New Roman" w:cs="Times New Roman"/>
          <w:i/>
          <w:iCs/>
          <w:kern w:val="0"/>
          <w:sz w:val="40"/>
          <w:szCs w:val="40"/>
          <w:lang w:eastAsia="fr-FR"/>
          <w14:ligatures w14:val="none"/>
        </w:rPr>
        <w:t>Offre</w:t>
      </w:r>
      <w:r w:rsidR="007D4FF8" w:rsidRPr="007D4FF8">
        <w:rPr>
          <w:rFonts w:ascii="Times New Roman" w:eastAsia="Times New Roman" w:hAnsi="Times New Roman" w:cs="Times New Roman"/>
          <w:i/>
          <w:iCs/>
          <w:kern w:val="0"/>
          <w:sz w:val="40"/>
          <w:szCs w:val="40"/>
          <w:lang w:eastAsia="fr-FR"/>
          <w14:ligatures w14:val="none"/>
        </w:rPr>
        <w:t xml:space="preserve"> de formation</w:t>
      </w:r>
      <w:r>
        <w:rPr>
          <w:rFonts w:ascii="Times New Roman" w:eastAsia="Times New Roman" w:hAnsi="Times New Roman" w:cs="Times New Roman"/>
          <w:i/>
          <w:iCs/>
          <w:kern w:val="0"/>
          <w:sz w:val="40"/>
          <w:szCs w:val="40"/>
          <w:lang w:eastAsia="fr-FR"/>
          <w14:ligatures w14:val="none"/>
        </w:rPr>
        <w:t xml:space="preserve"> à Koudougou du 10 au 12/11/2026</w:t>
      </w:r>
    </w:p>
    <w:p w14:paraId="224A0938" w14:textId="77777777" w:rsidR="007D4FF8" w:rsidRPr="007D4FF8" w:rsidRDefault="007D4FF8" w:rsidP="007D4FF8">
      <w:pPr>
        <w:spacing w:after="0" w:line="240" w:lineRule="auto"/>
        <w:rPr>
          <w:rFonts w:ascii="Times New Roman" w:eastAsia="Times New Roman" w:hAnsi="Times New Roman" w:cs="Times New Roman"/>
          <w:kern w:val="0"/>
          <w:sz w:val="16"/>
          <w:szCs w:val="16"/>
          <w:lang w:eastAsia="fr-FR"/>
          <w14:ligatures w14:val="none"/>
        </w:rPr>
      </w:pPr>
    </w:p>
    <w:p w14:paraId="1779F97A" w14:textId="6B713316" w:rsidR="006B70CF" w:rsidRPr="006B70CF" w:rsidRDefault="006B70CF" w:rsidP="006B70CF">
      <w:pPr>
        <w:shd w:val="clear" w:color="auto" w:fill="E7E6E6" w:themeFill="background2"/>
        <w:spacing w:after="0" w:line="240" w:lineRule="auto"/>
        <w:jc w:val="center"/>
        <w:rPr>
          <w:rFonts w:ascii="Book Antiqua" w:eastAsia="Times New Roman" w:hAnsi="Book Antiqua" w:cs="Times New Roman"/>
          <w:b/>
          <w:bCs/>
          <w:color w:val="EE0000"/>
          <w:kern w:val="0"/>
          <w:sz w:val="18"/>
          <w:szCs w:val="18"/>
          <w:lang w:eastAsia="fr-FR"/>
          <w14:ligatures w14:val="none"/>
        </w:rPr>
      </w:pPr>
      <w:r w:rsidRPr="006B70CF">
        <w:rPr>
          <w:rFonts w:ascii="Book Antiqua" w:eastAsia="Times New Roman" w:hAnsi="Book Antiqua" w:cs="Times New Roman"/>
          <w:b/>
          <w:bCs/>
          <w:color w:val="EE0000"/>
          <w:kern w:val="0"/>
          <w:sz w:val="18"/>
          <w:szCs w:val="18"/>
          <w:lang w:eastAsia="fr-FR"/>
          <w14:ligatures w14:val="none"/>
        </w:rPr>
        <w:t>ARBITRAGE/MEDIATION EN MATIERE MINIERE ET D’INVESTISSEMENT</w:t>
      </w:r>
    </w:p>
    <w:p w14:paraId="0D507852" w14:textId="2FBD97EC" w:rsidR="007D4FF8" w:rsidRPr="007D4FF8" w:rsidRDefault="007D4FF8" w:rsidP="007D4FF8">
      <w:pPr>
        <w:spacing w:after="0" w:line="240" w:lineRule="auto"/>
        <w:jc w:val="center"/>
        <w:rPr>
          <w:rFonts w:ascii="Book Antiqua" w:eastAsia="Times New Roman" w:hAnsi="Book Antiqua" w:cs="Times New Roman"/>
          <w:b/>
          <w:bCs/>
          <w:i/>
          <w:iCs/>
          <w:kern w:val="0"/>
          <w:sz w:val="20"/>
          <w:szCs w:val="20"/>
          <w:lang w:eastAsia="fr-FR"/>
          <w14:ligatures w14:val="none"/>
        </w:rPr>
      </w:pPr>
      <w:r w:rsidRPr="007D4FF8">
        <w:rPr>
          <w:rFonts w:ascii="Book Antiqua" w:eastAsia="Times New Roman" w:hAnsi="Book Antiqua" w:cs="Times New Roman"/>
          <w:b/>
          <w:bCs/>
          <w:kern w:val="0"/>
          <w:sz w:val="20"/>
          <w:szCs w:val="20"/>
          <w:lang w:eastAsia="fr-FR"/>
          <w14:ligatures w14:val="none"/>
        </w:rPr>
        <w:t>Thème :</w:t>
      </w:r>
      <w:r w:rsidRPr="007D4FF8">
        <w:rPr>
          <w:rFonts w:ascii="Book Antiqua" w:hAnsi="Book Antiqua"/>
          <w:b/>
          <w:bCs/>
          <w:i/>
          <w:iCs/>
          <w:sz w:val="20"/>
          <w:szCs w:val="20"/>
        </w:rPr>
        <w:t xml:space="preserve"> « </w:t>
      </w:r>
      <w:r w:rsidRPr="007D4FF8">
        <w:rPr>
          <w:rFonts w:ascii="Book Antiqua" w:eastAsia="Times New Roman" w:hAnsi="Book Antiqua" w:cs="Times New Roman"/>
          <w:b/>
          <w:bCs/>
          <w:i/>
          <w:iCs/>
          <w:kern w:val="0"/>
          <w:sz w:val="20"/>
          <w:szCs w:val="20"/>
          <w:lang w:eastAsia="fr-FR"/>
          <w14:ligatures w14:val="none"/>
        </w:rPr>
        <w:t>Connaissance du régime de règlement des litiges retenu dans les modèles de convention minière et de traité bilatéral d’investissement »</w:t>
      </w:r>
    </w:p>
    <w:p w14:paraId="66F8E918" w14:textId="77777777" w:rsidR="007D4FF8" w:rsidRPr="007D4FF8" w:rsidRDefault="007D4FF8" w:rsidP="007D4FF8">
      <w:pPr>
        <w:spacing w:after="0" w:line="276" w:lineRule="auto"/>
        <w:jc w:val="both"/>
        <w:rPr>
          <w:rFonts w:ascii="Book Antiqua" w:eastAsia="Times New Roman" w:hAnsi="Book Antiqua" w:cs="Times New Roman"/>
          <w:kern w:val="0"/>
          <w:sz w:val="16"/>
          <w:szCs w:val="16"/>
          <w:lang w:eastAsia="fr-FR"/>
          <w14:ligatures w14:val="none"/>
        </w:rPr>
      </w:pPr>
    </w:p>
    <w:p w14:paraId="659EC28C" w14:textId="00480BCA" w:rsidR="007D4FF8" w:rsidRPr="007D4FF8" w:rsidRDefault="007D4FF8" w:rsidP="007D4FF8">
      <w:pPr>
        <w:spacing w:after="0" w:line="276" w:lineRule="auto"/>
        <w:jc w:val="both"/>
        <w:rPr>
          <w:rFonts w:ascii="Book Antiqua" w:eastAsia="Times New Roman" w:hAnsi="Book Antiqua" w:cs="Times New Roman"/>
          <w:b/>
          <w:bCs/>
          <w:kern w:val="0"/>
          <w:sz w:val="20"/>
          <w:szCs w:val="20"/>
          <w:lang w:eastAsia="fr-FR"/>
          <w14:ligatures w14:val="none"/>
        </w:rPr>
      </w:pPr>
      <w:r w:rsidRPr="007D4FF8">
        <w:rPr>
          <w:rFonts w:ascii="Book Antiqua" w:eastAsia="Times New Roman" w:hAnsi="Book Antiqua" w:cs="Times New Roman"/>
          <w:b/>
          <w:bCs/>
          <w:kern w:val="0"/>
          <w:sz w:val="20"/>
          <w:szCs w:val="20"/>
          <w:lang w:eastAsia="fr-FR"/>
          <w14:ligatures w14:val="none"/>
        </w:rPr>
        <w:t>CONTEXTE ET JUSTIFICATION</w:t>
      </w:r>
    </w:p>
    <w:p w14:paraId="4CE8DDAE" w14:textId="77777777" w:rsidR="00DC18AC" w:rsidRDefault="007D4FF8" w:rsidP="007D4FF8">
      <w:pPr>
        <w:spacing w:after="0" w:line="276" w:lineRule="auto"/>
        <w:jc w:val="both"/>
        <w:rPr>
          <w:rFonts w:ascii="Book Antiqua" w:eastAsia="Times New Roman" w:hAnsi="Book Antiqua" w:cs="Times New Roman"/>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 xml:space="preserve">Dans l’optique de rendre plus attractif l’environnement des affaires et de moderniser sa règlementation sur l’investissement, le Gouvernement du Burkina Faso a adopté les décrets </w:t>
      </w:r>
      <w:r w:rsidRPr="007D4FF8">
        <w:rPr>
          <w:rFonts w:ascii="Book Antiqua" w:eastAsia="Times New Roman" w:hAnsi="Book Antiqua" w:cs="Times New Roman"/>
          <w:b/>
          <w:bCs/>
          <w:i/>
          <w:iCs/>
          <w:kern w:val="0"/>
          <w:sz w:val="20"/>
          <w:szCs w:val="20"/>
          <w:lang w:eastAsia="fr-FR"/>
          <w14:ligatures w14:val="none"/>
        </w:rPr>
        <w:t>n°2023-538/PRES-TANS/PM/MDICAPME/MEFP/MAECRBE du 04 mai 2023 portant adoption du modèle national de traité bilatéral d’investissement (MTBI) du Burkina Faso</w:t>
      </w:r>
      <w:r w:rsidRPr="007D4FF8">
        <w:rPr>
          <w:rFonts w:ascii="Book Antiqua" w:eastAsia="Times New Roman" w:hAnsi="Book Antiqua" w:cs="Times New Roman"/>
          <w:i/>
          <w:iCs/>
          <w:kern w:val="0"/>
          <w:sz w:val="20"/>
          <w:szCs w:val="20"/>
          <w:lang w:eastAsia="fr-FR"/>
          <w14:ligatures w14:val="none"/>
        </w:rPr>
        <w:t xml:space="preserve"> et </w:t>
      </w:r>
      <w:r w:rsidRPr="007D4FF8">
        <w:rPr>
          <w:rFonts w:ascii="Book Antiqua" w:eastAsia="Times New Roman" w:hAnsi="Book Antiqua" w:cs="Times New Roman"/>
          <w:b/>
          <w:bCs/>
          <w:i/>
          <w:iCs/>
          <w:kern w:val="0"/>
          <w:sz w:val="20"/>
          <w:szCs w:val="20"/>
          <w:lang w:eastAsia="fr-FR"/>
          <w14:ligatures w14:val="none"/>
        </w:rPr>
        <w:t>n° 2025-0290/PRES/PM/MEMC/MATM/MEF/MFPTPS/MICA/MEEA/MUH/MSJE du 14 mars 2025 portant modèle de convention minière (MCM</w:t>
      </w:r>
      <w:r w:rsidRPr="007D4FF8">
        <w:rPr>
          <w:rFonts w:ascii="Book Antiqua" w:eastAsia="Times New Roman" w:hAnsi="Book Antiqua" w:cs="Times New Roman"/>
          <w:b/>
          <w:bCs/>
          <w:kern w:val="0"/>
          <w:sz w:val="20"/>
          <w:szCs w:val="20"/>
          <w:lang w:eastAsia="fr-FR"/>
          <w14:ligatures w14:val="none"/>
        </w:rPr>
        <w:t xml:space="preserve">). </w:t>
      </w:r>
      <w:r w:rsidRPr="007D4FF8">
        <w:rPr>
          <w:rFonts w:ascii="Book Antiqua" w:eastAsia="Times New Roman" w:hAnsi="Book Antiqua" w:cs="Times New Roman"/>
          <w:kern w:val="0"/>
          <w:sz w:val="20"/>
          <w:szCs w:val="20"/>
          <w:lang w:eastAsia="fr-FR"/>
          <w14:ligatures w14:val="none"/>
        </w:rPr>
        <w:t xml:space="preserve">Le domaine commun de ces deux décrets reste la garantie de la facilitation et de la protection des investissements, conjuguée avec le développement durable </w:t>
      </w:r>
      <w:r w:rsidR="006B70CF">
        <w:rPr>
          <w:rFonts w:ascii="Book Antiqua" w:eastAsia="Times New Roman" w:hAnsi="Book Antiqua" w:cs="Times New Roman"/>
          <w:kern w:val="0"/>
          <w:sz w:val="20"/>
          <w:szCs w:val="20"/>
          <w:lang w:eastAsia="fr-FR"/>
          <w14:ligatures w14:val="none"/>
        </w:rPr>
        <w:t>de</w:t>
      </w:r>
      <w:r w:rsidRPr="007D4FF8">
        <w:rPr>
          <w:rFonts w:ascii="Book Antiqua" w:eastAsia="Times New Roman" w:hAnsi="Book Antiqua" w:cs="Times New Roman"/>
          <w:kern w:val="0"/>
          <w:sz w:val="20"/>
          <w:szCs w:val="20"/>
          <w:lang w:eastAsia="fr-FR"/>
          <w14:ligatures w14:val="none"/>
        </w:rPr>
        <w:t xml:space="preserve"> </w:t>
      </w:r>
      <w:r w:rsidR="006B70CF">
        <w:rPr>
          <w:rFonts w:ascii="Book Antiqua" w:eastAsia="Times New Roman" w:hAnsi="Book Antiqua" w:cs="Times New Roman"/>
          <w:kern w:val="0"/>
          <w:sz w:val="20"/>
          <w:szCs w:val="20"/>
          <w:lang w:eastAsia="fr-FR"/>
          <w14:ligatures w14:val="none"/>
        </w:rPr>
        <w:t>notre pays</w:t>
      </w:r>
      <w:r w:rsidRPr="007D4FF8">
        <w:rPr>
          <w:rFonts w:ascii="Book Antiqua" w:eastAsia="Times New Roman" w:hAnsi="Book Antiqua" w:cs="Times New Roman"/>
          <w:kern w:val="0"/>
          <w:sz w:val="20"/>
          <w:szCs w:val="20"/>
          <w:lang w:eastAsia="fr-FR"/>
          <w14:ligatures w14:val="none"/>
        </w:rPr>
        <w:t>. Toutefois, si le décret sur le MCM vise le domaine minier, celui sur le MTBI peut concerner divers secteurs d’activité, tels les mines, les BTP, l’industrie, les secteurs agro-sylvo-pastoraux et halieutiques</w:t>
      </w:r>
      <w:r w:rsidR="00DC18AC">
        <w:rPr>
          <w:rFonts w:ascii="Book Antiqua" w:eastAsia="Times New Roman" w:hAnsi="Book Antiqua" w:cs="Times New Roman"/>
          <w:kern w:val="0"/>
          <w:sz w:val="20"/>
          <w:szCs w:val="20"/>
          <w:lang w:eastAsia="fr-FR"/>
          <w14:ligatures w14:val="none"/>
        </w:rPr>
        <w:t>.</w:t>
      </w:r>
    </w:p>
    <w:p w14:paraId="1EA2EC25" w14:textId="51FC08C2" w:rsidR="007D4FF8" w:rsidRPr="007D4FF8" w:rsidRDefault="006B70CF" w:rsidP="007D4FF8">
      <w:pPr>
        <w:spacing w:after="0" w:line="276" w:lineRule="auto"/>
        <w:jc w:val="both"/>
        <w:rPr>
          <w:rFonts w:ascii="Book Antiqua" w:eastAsia="Times New Roman" w:hAnsi="Book Antiqua" w:cs="Times New Roman"/>
          <w:b/>
          <w:bCs/>
          <w:kern w:val="0"/>
          <w:sz w:val="20"/>
          <w:szCs w:val="20"/>
          <w:lang w:eastAsia="fr-FR"/>
          <w14:ligatures w14:val="none"/>
        </w:rPr>
      </w:pPr>
      <w:r>
        <w:rPr>
          <w:rFonts w:ascii="Book Antiqua" w:eastAsia="Times New Roman" w:hAnsi="Book Antiqua" w:cs="Times New Roman"/>
          <w:kern w:val="0"/>
          <w:sz w:val="20"/>
          <w:szCs w:val="20"/>
          <w:lang w:eastAsia="fr-FR"/>
          <w14:ligatures w14:val="none"/>
        </w:rPr>
        <w:t>Ainsi, s</w:t>
      </w:r>
      <w:r w:rsidR="007D4FF8" w:rsidRPr="007D4FF8">
        <w:rPr>
          <w:rFonts w:ascii="Book Antiqua" w:eastAsia="Times New Roman" w:hAnsi="Book Antiqua" w:cs="Times New Roman"/>
          <w:kern w:val="0"/>
          <w:sz w:val="20"/>
          <w:szCs w:val="20"/>
          <w:lang w:eastAsia="fr-FR"/>
          <w14:ligatures w14:val="none"/>
        </w:rPr>
        <w:t>elon les partenaires concernés, il peut prévoir des restrictions ou des avantages quant à l’application de certains textes.</w:t>
      </w:r>
    </w:p>
    <w:p w14:paraId="6B4A0B2D" w14:textId="77777777" w:rsidR="007D4FF8" w:rsidRPr="007D4FF8" w:rsidRDefault="007D4FF8" w:rsidP="007D4FF8">
      <w:pPr>
        <w:spacing w:after="0" w:line="276" w:lineRule="auto"/>
        <w:jc w:val="both"/>
        <w:rPr>
          <w:rFonts w:ascii="Book Antiqua" w:eastAsia="Times New Roman" w:hAnsi="Book Antiqua" w:cs="Times New Roman"/>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 xml:space="preserve"> Ces décrets qui interviennent dans des secteurs stratégiques concilient logique économique, incarnée par la préservation des intérêts de l’investisseur, et logique durable, accordant la priorité aux considérations environnementales, sociales et de gouvernance de notre pays. Cela est d’autant plus vrai que les systèmes de prévention et de règlement des différends y contenus offrent une garantie de neutralité appréciable, au regard des voies proposées aux partenaires/investisseurs, lesquelles voies prennent en compte les intérêts de l’ensemble des parties prenantes.</w:t>
      </w:r>
    </w:p>
    <w:p w14:paraId="129B9EFB" w14:textId="77777777" w:rsidR="007D4FF8" w:rsidRPr="007D4FF8" w:rsidRDefault="007D4FF8" w:rsidP="007D4FF8">
      <w:pPr>
        <w:spacing w:after="0" w:line="240" w:lineRule="auto"/>
        <w:jc w:val="both"/>
        <w:rPr>
          <w:rFonts w:ascii="Book Antiqua" w:eastAsia="Times New Roman" w:hAnsi="Book Antiqua" w:cs="Times New Roman"/>
          <w:kern w:val="0"/>
          <w:sz w:val="16"/>
          <w:szCs w:val="16"/>
          <w:lang w:eastAsia="fr-FR"/>
          <w14:ligatures w14:val="none"/>
        </w:rPr>
      </w:pPr>
    </w:p>
    <w:p w14:paraId="772ED0BB" w14:textId="77777777" w:rsidR="007D4FF8" w:rsidRPr="007D4FF8" w:rsidRDefault="007D4FF8" w:rsidP="007D4FF8">
      <w:pPr>
        <w:spacing w:after="0" w:line="276" w:lineRule="auto"/>
        <w:jc w:val="both"/>
        <w:rPr>
          <w:rFonts w:ascii="Book Antiqua" w:eastAsia="Times New Roman" w:hAnsi="Book Antiqua" w:cs="Times New Roman"/>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En effet, les deux textes prévoient tous, tant des voies de règlement non-juridictionnelles que celles juridictionnelles, allant du règlement amiable à l’arbitrage, en passant par la médiation</w:t>
      </w:r>
      <w:r w:rsidRPr="007D4FF8">
        <w:rPr>
          <w:rFonts w:ascii="Book Antiqua" w:eastAsia="Times New Roman" w:hAnsi="Book Antiqua" w:cs="Times New Roman"/>
          <w:kern w:val="0"/>
          <w:sz w:val="20"/>
          <w:szCs w:val="20"/>
          <w:vertAlign w:val="superscript"/>
          <w:lang w:eastAsia="fr-FR"/>
          <w14:ligatures w14:val="none"/>
        </w:rPr>
        <w:footnoteReference w:id="1"/>
      </w:r>
      <w:r w:rsidRPr="007D4FF8">
        <w:rPr>
          <w:rFonts w:ascii="Book Antiqua" w:eastAsia="Times New Roman" w:hAnsi="Book Antiqua" w:cs="Times New Roman"/>
          <w:kern w:val="0"/>
          <w:sz w:val="20"/>
          <w:szCs w:val="20"/>
          <w:lang w:eastAsia="fr-FR"/>
          <w14:ligatures w14:val="none"/>
        </w:rPr>
        <w:t xml:space="preserve">. Si le MTBI vise exclusivement le Centre d’Arbitrage, de Médiation et de Conciliation de Ouagadougou (CAMC-O) pour conduire la médiation en cas de différends relatifs aux accords relevant de son champ de couverture, le MCM, lui, fait du CAMC-O l’institution par excellence, en charge du règlement par voie d’arbitrage des différends relevant de son domaine de compétence. </w:t>
      </w:r>
    </w:p>
    <w:p w14:paraId="5A0A960F" w14:textId="77777777" w:rsidR="007D4FF8" w:rsidRPr="007D4FF8" w:rsidRDefault="007D4FF8" w:rsidP="007D4FF8">
      <w:pPr>
        <w:spacing w:after="0" w:line="276" w:lineRule="auto"/>
        <w:jc w:val="both"/>
        <w:rPr>
          <w:rFonts w:ascii="Book Antiqua" w:eastAsia="Times New Roman" w:hAnsi="Book Antiqua" w:cs="Times New Roman"/>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Toutefois, chaque texte conserve des domaines résiduels, où le CAMC-O peut avoir vocation à intervenir, tantôt parce qu’il est visé cumulativement avec d’autres institutions (CIRDI, CCJA…), tantôt parce que la matière en cause est couverte par son champ d’intervention</w:t>
      </w:r>
      <w:r w:rsidRPr="007D4FF8">
        <w:rPr>
          <w:rFonts w:ascii="Book Antiqua" w:eastAsia="Times New Roman" w:hAnsi="Book Antiqua" w:cs="Times New Roman"/>
          <w:kern w:val="0"/>
          <w:sz w:val="20"/>
          <w:szCs w:val="20"/>
          <w:vertAlign w:val="superscript"/>
          <w:lang w:eastAsia="fr-FR"/>
          <w14:ligatures w14:val="none"/>
        </w:rPr>
        <w:footnoteReference w:id="2"/>
      </w:r>
      <w:r w:rsidRPr="007D4FF8">
        <w:rPr>
          <w:rFonts w:ascii="Book Antiqua" w:eastAsia="Times New Roman" w:hAnsi="Book Antiqua" w:cs="Times New Roman"/>
          <w:kern w:val="0"/>
          <w:sz w:val="20"/>
          <w:szCs w:val="20"/>
          <w:lang w:eastAsia="fr-FR"/>
          <w14:ligatures w14:val="none"/>
        </w:rPr>
        <w:t xml:space="preserve">. </w:t>
      </w:r>
    </w:p>
    <w:p w14:paraId="632BAEAA" w14:textId="77777777" w:rsidR="007D4FF8" w:rsidRPr="007D4FF8" w:rsidRDefault="007D4FF8" w:rsidP="007D4FF8">
      <w:pPr>
        <w:spacing w:after="0" w:line="276" w:lineRule="auto"/>
        <w:jc w:val="both"/>
        <w:rPr>
          <w:rFonts w:ascii="Book Antiqua" w:eastAsia="Times New Roman" w:hAnsi="Book Antiqua" w:cs="Times New Roman"/>
          <w:kern w:val="0"/>
          <w:sz w:val="16"/>
          <w:szCs w:val="16"/>
          <w:lang w:eastAsia="fr-FR"/>
          <w14:ligatures w14:val="none"/>
        </w:rPr>
      </w:pPr>
    </w:p>
    <w:p w14:paraId="1DD89B35" w14:textId="3FF8FF3B" w:rsidR="007D4FF8" w:rsidRPr="007D4FF8" w:rsidRDefault="007D4FF8" w:rsidP="007D4FF8">
      <w:pPr>
        <w:spacing w:after="0" w:line="276" w:lineRule="auto"/>
        <w:jc w:val="both"/>
        <w:rPr>
          <w:rFonts w:ascii="Book Antiqua" w:eastAsia="Times New Roman" w:hAnsi="Book Antiqua" w:cs="Times New Roman"/>
          <w:color w:val="000000"/>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 xml:space="preserve">Au regard de l’importance de ces textes pour les investisseurs et pour la croissance économique nationale, il est judicieux que les acteurs directs des structures et entreprises placées au premier plan </w:t>
      </w:r>
      <w:r w:rsidRPr="007D4FF8">
        <w:rPr>
          <w:rFonts w:ascii="Book Antiqua" w:eastAsia="Times New Roman" w:hAnsi="Book Antiqua" w:cs="Times New Roman"/>
          <w:kern w:val="0"/>
          <w:sz w:val="20"/>
          <w:szCs w:val="20"/>
          <w:lang w:eastAsia="fr-FR"/>
          <w14:ligatures w14:val="none"/>
        </w:rPr>
        <w:lastRenderedPageBreak/>
        <w:t xml:space="preserve">des négociations de traités/conventions et de leur mise en œuvre, soient suffisamment outillés sur les procédures qui innervent ces mécanismes de règlement de différends hors les </w:t>
      </w:r>
      <w:r w:rsidRPr="007D4FF8">
        <w:rPr>
          <w:rFonts w:ascii="Book Antiqua" w:eastAsia="Times New Roman" w:hAnsi="Book Antiqua" w:cs="Times New Roman"/>
          <w:color w:val="000000"/>
          <w:kern w:val="0"/>
          <w:sz w:val="20"/>
          <w:szCs w:val="20"/>
          <w:lang w:eastAsia="fr-FR"/>
          <w14:ligatures w14:val="none"/>
        </w:rPr>
        <w:t>juridictions étatiques.</w:t>
      </w:r>
    </w:p>
    <w:p w14:paraId="3310133D" w14:textId="77777777" w:rsidR="007D4FF8" w:rsidRPr="007D4FF8" w:rsidRDefault="007D4FF8" w:rsidP="007D4FF8">
      <w:pPr>
        <w:spacing w:after="0" w:line="240" w:lineRule="auto"/>
        <w:jc w:val="both"/>
        <w:rPr>
          <w:rFonts w:ascii="Book Antiqua" w:eastAsia="Times New Roman" w:hAnsi="Book Antiqua" w:cs="Times New Roman"/>
          <w:kern w:val="0"/>
          <w:sz w:val="16"/>
          <w:szCs w:val="16"/>
          <w:lang w:eastAsia="fr-FR"/>
          <w14:ligatures w14:val="none"/>
        </w:rPr>
      </w:pPr>
    </w:p>
    <w:p w14:paraId="0ABEE754" w14:textId="0E61F4D8" w:rsidR="007D4FF8" w:rsidRPr="007D4FF8" w:rsidRDefault="007D4FF8" w:rsidP="007D4FF8">
      <w:pPr>
        <w:spacing w:after="0" w:line="240" w:lineRule="auto"/>
        <w:jc w:val="both"/>
        <w:rPr>
          <w:rFonts w:ascii="Book Antiqua" w:eastAsia="Times New Roman" w:hAnsi="Book Antiqua" w:cs="Times New Roman"/>
          <w:bCs/>
          <w:i/>
          <w:iCs/>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 xml:space="preserve">La présente formation vise à outiller les acteurs impliqués dans la négociation et la gestion des TBI, des conventions minières et autres contrats avec l’Etat, lesquels impliquent souvent de gros enjeux économiques, ainsi que dans la gestion du contentieux. Plus spécifiquement, la session traitera de la problématique de la mitigation des risques liés aux conflits économiques dans un contexte où notre pays est engagé sur de grands chantiers de développement, à travers </w:t>
      </w:r>
      <w:r w:rsidRPr="007D4FF8">
        <w:rPr>
          <w:rFonts w:ascii="Book Antiqua" w:eastAsia="Times New Roman" w:hAnsi="Book Antiqua" w:cs="Times New Roman"/>
          <w:bCs/>
          <w:kern w:val="0"/>
          <w:sz w:val="20"/>
          <w:szCs w:val="20"/>
          <w:lang w:eastAsia="fr-FR"/>
          <w14:ligatures w14:val="none"/>
        </w:rPr>
        <w:t xml:space="preserve">la </w:t>
      </w:r>
      <w:r w:rsidRPr="007D4FF8">
        <w:rPr>
          <w:rFonts w:ascii="Book Antiqua" w:eastAsia="Times New Roman" w:hAnsi="Book Antiqua" w:cs="Times New Roman"/>
          <w:b/>
          <w:kern w:val="0"/>
          <w:sz w:val="20"/>
          <w:szCs w:val="20"/>
          <w:lang w:eastAsia="fr-FR"/>
          <w14:ligatures w14:val="none"/>
        </w:rPr>
        <w:t>« </w:t>
      </w:r>
      <w:r w:rsidRPr="007D4FF8">
        <w:rPr>
          <w:rFonts w:ascii="Book Antiqua" w:eastAsia="Times New Roman" w:hAnsi="Book Antiqua" w:cs="Times New Roman"/>
          <w:b/>
          <w:i/>
          <w:iCs/>
          <w:kern w:val="0"/>
          <w:sz w:val="20"/>
          <w:szCs w:val="20"/>
          <w:lang w:eastAsia="fr-FR"/>
          <w14:ligatures w14:val="none"/>
        </w:rPr>
        <w:t>Connaissance du régime de règlement des litiges retenu dans les modèles de convention minière et de traité bilatéral d’investissement ».</w:t>
      </w:r>
    </w:p>
    <w:p w14:paraId="0B953D63" w14:textId="77777777" w:rsidR="007D4FF8" w:rsidRPr="007D4FF8" w:rsidRDefault="007D4FF8" w:rsidP="007D4FF8">
      <w:pPr>
        <w:spacing w:after="0" w:line="240" w:lineRule="auto"/>
        <w:jc w:val="both"/>
        <w:rPr>
          <w:rFonts w:ascii="Book Antiqua" w:eastAsia="Times New Roman" w:hAnsi="Book Antiqua" w:cs="Times New Roman"/>
          <w:kern w:val="0"/>
          <w:sz w:val="16"/>
          <w:szCs w:val="16"/>
          <w:lang w:eastAsia="fr-FR"/>
          <w14:ligatures w14:val="none"/>
        </w:rPr>
      </w:pPr>
    </w:p>
    <w:p w14:paraId="7760B7D5" w14:textId="040D6BE4" w:rsidR="007D4FF8" w:rsidRPr="007D4FF8" w:rsidRDefault="007D4FF8" w:rsidP="007D4FF8">
      <w:pPr>
        <w:keepNext/>
        <w:keepLines/>
        <w:numPr>
          <w:ilvl w:val="0"/>
          <w:numId w:val="1"/>
        </w:numPr>
        <w:spacing w:after="0" w:line="240" w:lineRule="auto"/>
        <w:outlineLvl w:val="1"/>
        <w:rPr>
          <w:rFonts w:ascii="Book Antiqua" w:eastAsia="Times New Roman" w:hAnsi="Book Antiqua" w:cs="Arial"/>
          <w:b/>
          <w:bCs/>
          <w:color w:val="C00000"/>
          <w:kern w:val="0"/>
          <w:sz w:val="20"/>
          <w:szCs w:val="20"/>
          <w:lang w:eastAsia="fr-FR"/>
          <w14:ligatures w14:val="none"/>
        </w:rPr>
      </w:pPr>
      <w:r w:rsidRPr="007D4FF8">
        <w:rPr>
          <w:rFonts w:ascii="Book Antiqua" w:eastAsia="Times New Roman" w:hAnsi="Book Antiqua" w:cs="Arial"/>
          <w:b/>
          <w:bCs/>
          <w:color w:val="C00000"/>
          <w:kern w:val="0"/>
          <w:sz w:val="20"/>
          <w:szCs w:val="20"/>
          <w:lang w:eastAsia="fr-FR"/>
          <w14:ligatures w14:val="none"/>
        </w:rPr>
        <w:t>OBJECTIF DE LA FORMATION</w:t>
      </w:r>
    </w:p>
    <w:p w14:paraId="4F9ADCE0" w14:textId="7EF31441" w:rsidR="007D4FF8" w:rsidRPr="007D4FF8" w:rsidRDefault="007D4FF8" w:rsidP="007D4FF8">
      <w:pPr>
        <w:spacing w:after="0" w:line="240" w:lineRule="auto"/>
        <w:jc w:val="both"/>
        <w:rPr>
          <w:rFonts w:ascii="Book Antiqua" w:eastAsia="Times New Roman" w:hAnsi="Book Antiqua" w:cs="Arial"/>
          <w:kern w:val="0"/>
          <w:sz w:val="20"/>
          <w:szCs w:val="20"/>
          <w:lang w:eastAsia="fr-FR"/>
          <w14:ligatures w14:val="none"/>
        </w:rPr>
      </w:pPr>
      <w:r w:rsidRPr="007D4FF8">
        <w:rPr>
          <w:rFonts w:ascii="Book Antiqua" w:eastAsia="Times New Roman" w:hAnsi="Book Antiqua" w:cs="Arial"/>
          <w:kern w:val="0"/>
          <w:sz w:val="20"/>
          <w:szCs w:val="20"/>
          <w:lang w:eastAsia="fr-FR"/>
          <w14:ligatures w14:val="none"/>
        </w:rPr>
        <w:t xml:space="preserve">Le présent séminaire vise à renforcer les capacités des acteurs et praticiens du droit impliqués dans la négociation et la gestion des TBI, des conventions minières et autres contrats </w:t>
      </w:r>
      <w:r w:rsidR="006B70CF">
        <w:rPr>
          <w:rFonts w:ascii="Book Antiqua" w:eastAsia="Times New Roman" w:hAnsi="Book Antiqua" w:cs="Arial"/>
          <w:kern w:val="0"/>
          <w:sz w:val="20"/>
          <w:szCs w:val="20"/>
          <w:lang w:eastAsia="fr-FR"/>
          <w14:ligatures w14:val="none"/>
        </w:rPr>
        <w:t>publics</w:t>
      </w:r>
      <w:r w:rsidRPr="007D4FF8">
        <w:rPr>
          <w:rFonts w:ascii="Book Antiqua" w:eastAsia="Times New Roman" w:hAnsi="Book Antiqua" w:cs="Arial"/>
          <w:kern w:val="0"/>
          <w:sz w:val="20"/>
          <w:szCs w:val="20"/>
          <w:lang w:eastAsia="fr-FR"/>
          <w14:ligatures w14:val="none"/>
        </w:rPr>
        <w:t>, ainsi que dans la gestion du contentieux</w:t>
      </w:r>
      <w:r w:rsidR="006B70CF">
        <w:rPr>
          <w:rFonts w:ascii="Book Antiqua" w:eastAsia="Times New Roman" w:hAnsi="Book Antiqua" w:cs="Arial"/>
          <w:kern w:val="0"/>
          <w:sz w:val="20"/>
          <w:szCs w:val="20"/>
          <w:lang w:eastAsia="fr-FR"/>
          <w14:ligatures w14:val="none"/>
        </w:rPr>
        <w:t>,</w:t>
      </w:r>
      <w:r w:rsidRPr="007D4FF8">
        <w:rPr>
          <w:rFonts w:ascii="Book Antiqua" w:eastAsia="Times New Roman" w:hAnsi="Book Antiqua" w:cs="Arial"/>
          <w:kern w:val="0"/>
          <w:sz w:val="20"/>
          <w:szCs w:val="20"/>
          <w:lang w:eastAsia="fr-FR"/>
          <w14:ligatures w14:val="none"/>
        </w:rPr>
        <w:t xml:space="preserve"> sur le </w:t>
      </w:r>
      <w:r w:rsidRPr="007D4FF8">
        <w:rPr>
          <w:rFonts w:ascii="Book Antiqua" w:eastAsia="Times New Roman" w:hAnsi="Book Antiqua" w:cs="Arial"/>
          <w:bCs/>
          <w:i/>
          <w:iCs/>
          <w:kern w:val="0"/>
          <w:sz w:val="20"/>
          <w:szCs w:val="20"/>
          <w:lang w:eastAsia="fr-FR"/>
          <w14:ligatures w14:val="none"/>
        </w:rPr>
        <w:t>régime de règlement des litiges prévu par les modèles de convention minière et de traité bilatéral d’investissement</w:t>
      </w:r>
      <w:r w:rsidRPr="007D4FF8">
        <w:rPr>
          <w:rFonts w:ascii="Book Antiqua" w:eastAsia="Times New Roman" w:hAnsi="Book Antiqua" w:cs="Arial"/>
          <w:kern w:val="0"/>
          <w:sz w:val="20"/>
          <w:szCs w:val="20"/>
          <w:lang w:eastAsia="fr-FR"/>
          <w14:ligatures w14:val="none"/>
        </w:rPr>
        <w:t>.</w:t>
      </w:r>
    </w:p>
    <w:p w14:paraId="03184E27" w14:textId="77777777" w:rsidR="007D4FF8" w:rsidRPr="007D4FF8" w:rsidRDefault="007D4FF8" w:rsidP="007D4FF8">
      <w:pPr>
        <w:spacing w:after="0" w:line="240" w:lineRule="auto"/>
        <w:jc w:val="both"/>
        <w:rPr>
          <w:rFonts w:ascii="Book Antiqua" w:eastAsia="Times New Roman" w:hAnsi="Book Antiqua" w:cs="Arial"/>
          <w:kern w:val="0"/>
          <w:sz w:val="16"/>
          <w:szCs w:val="16"/>
          <w:lang w:eastAsia="fr-FR"/>
          <w14:ligatures w14:val="none"/>
        </w:rPr>
      </w:pPr>
    </w:p>
    <w:p w14:paraId="62D989A1" w14:textId="7018F1BF" w:rsidR="007D4FF8" w:rsidRPr="007D4FF8" w:rsidRDefault="007D4FF8" w:rsidP="007D4FF8">
      <w:pPr>
        <w:keepNext/>
        <w:keepLines/>
        <w:numPr>
          <w:ilvl w:val="0"/>
          <w:numId w:val="1"/>
        </w:numPr>
        <w:spacing w:after="0" w:line="240" w:lineRule="auto"/>
        <w:outlineLvl w:val="1"/>
        <w:rPr>
          <w:rFonts w:ascii="Book Antiqua" w:eastAsia="Times New Roman" w:hAnsi="Book Antiqua" w:cs="Arial"/>
          <w:b/>
          <w:bCs/>
          <w:color w:val="C00000"/>
          <w:kern w:val="0"/>
          <w:sz w:val="20"/>
          <w:szCs w:val="20"/>
          <w:lang w:eastAsia="fr-FR"/>
          <w14:ligatures w14:val="none"/>
        </w:rPr>
      </w:pPr>
      <w:r w:rsidRPr="007D4FF8">
        <w:rPr>
          <w:rFonts w:ascii="Book Antiqua" w:eastAsia="Times New Roman" w:hAnsi="Book Antiqua" w:cs="Arial"/>
          <w:b/>
          <w:bCs/>
          <w:color w:val="C00000"/>
          <w:kern w:val="0"/>
          <w:sz w:val="20"/>
          <w:szCs w:val="20"/>
          <w:lang w:eastAsia="fr-FR"/>
          <w14:ligatures w14:val="none"/>
        </w:rPr>
        <w:t>BENEFICIAIRES</w:t>
      </w:r>
    </w:p>
    <w:p w14:paraId="4E81D6A1" w14:textId="77777777" w:rsidR="007D4FF8" w:rsidRPr="007D4FF8" w:rsidRDefault="007D4FF8" w:rsidP="007D4FF8">
      <w:pPr>
        <w:numPr>
          <w:ilvl w:val="0"/>
          <w:numId w:val="3"/>
        </w:numPr>
        <w:spacing w:after="0" w:line="240" w:lineRule="auto"/>
        <w:rPr>
          <w:rFonts w:ascii="Book Antiqua" w:eastAsia="Times New Roman" w:hAnsi="Book Antiqua" w:cs="Times New Roman"/>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Hauts-cadres des départements ministériels ;</w:t>
      </w:r>
    </w:p>
    <w:p w14:paraId="6613C2F7" w14:textId="77777777" w:rsidR="007D4FF8" w:rsidRPr="007D4FF8" w:rsidRDefault="007D4FF8" w:rsidP="007D4FF8">
      <w:pPr>
        <w:numPr>
          <w:ilvl w:val="0"/>
          <w:numId w:val="3"/>
        </w:numPr>
        <w:spacing w:after="0" w:line="240" w:lineRule="auto"/>
        <w:rPr>
          <w:rFonts w:ascii="Book Antiqua" w:eastAsia="Times New Roman" w:hAnsi="Book Antiqua" w:cs="Times New Roman"/>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Agents des services juridiques de l’Etat et de ses démembrements ;</w:t>
      </w:r>
    </w:p>
    <w:p w14:paraId="1F2B6DD3" w14:textId="1DF61F9B" w:rsidR="007D4FF8" w:rsidRPr="007D4FF8" w:rsidRDefault="007D4FF8" w:rsidP="007D4FF8">
      <w:pPr>
        <w:numPr>
          <w:ilvl w:val="0"/>
          <w:numId w:val="3"/>
        </w:numPr>
        <w:spacing w:after="0" w:line="240" w:lineRule="auto"/>
        <w:rPr>
          <w:rFonts w:ascii="Book Antiqua" w:eastAsia="Times New Roman" w:hAnsi="Book Antiqua" w:cs="Times New Roman"/>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Agents des corps de l’Etat intervenant dans la gestion du contentieux et dans les négociations contractuelles (AJE, ARCOP, ABI</w:t>
      </w:r>
      <w:r w:rsidR="006B70CF">
        <w:rPr>
          <w:rFonts w:ascii="Book Antiqua" w:eastAsia="Times New Roman" w:hAnsi="Book Antiqua" w:cs="Times New Roman"/>
          <w:kern w:val="0"/>
          <w:sz w:val="20"/>
          <w:szCs w:val="20"/>
          <w:lang w:eastAsia="fr-FR"/>
          <w14:ligatures w14:val="none"/>
        </w:rPr>
        <w:t>PEX</w:t>
      </w:r>
      <w:r w:rsidRPr="007D4FF8">
        <w:rPr>
          <w:rFonts w:ascii="Book Antiqua" w:eastAsia="Times New Roman" w:hAnsi="Book Antiqua" w:cs="Times New Roman"/>
          <w:kern w:val="0"/>
          <w:sz w:val="20"/>
          <w:szCs w:val="20"/>
          <w:lang w:eastAsia="fr-FR"/>
          <w14:ligatures w14:val="none"/>
        </w:rPr>
        <w:t>, PRM…) ;</w:t>
      </w:r>
    </w:p>
    <w:p w14:paraId="6043EA4C" w14:textId="6869F3BE" w:rsidR="006B70CF" w:rsidRDefault="006B70CF" w:rsidP="007D4FF8">
      <w:pPr>
        <w:numPr>
          <w:ilvl w:val="0"/>
          <w:numId w:val="3"/>
        </w:numPr>
        <w:spacing w:after="0" w:line="240" w:lineRule="auto"/>
        <w:rPr>
          <w:rFonts w:ascii="Book Antiqua" w:eastAsia="Times New Roman" w:hAnsi="Book Antiqua" w:cs="Times New Roman"/>
          <w:kern w:val="0"/>
          <w:sz w:val="20"/>
          <w:szCs w:val="20"/>
          <w:lang w:eastAsia="fr-FR"/>
          <w14:ligatures w14:val="none"/>
        </w:rPr>
      </w:pPr>
      <w:r>
        <w:rPr>
          <w:rFonts w:ascii="Book Antiqua" w:eastAsia="Times New Roman" w:hAnsi="Book Antiqua" w:cs="Times New Roman"/>
          <w:kern w:val="0"/>
          <w:sz w:val="20"/>
          <w:szCs w:val="20"/>
          <w:lang w:eastAsia="fr-FR"/>
          <w14:ligatures w14:val="none"/>
        </w:rPr>
        <w:t>Cadres des institutions financières et d’investissement ;</w:t>
      </w:r>
    </w:p>
    <w:p w14:paraId="6021074D" w14:textId="4E5CFC32" w:rsidR="007D4FF8" w:rsidRPr="007D4FF8" w:rsidRDefault="007D4FF8" w:rsidP="007D4FF8">
      <w:pPr>
        <w:numPr>
          <w:ilvl w:val="0"/>
          <w:numId w:val="3"/>
        </w:numPr>
        <w:spacing w:after="0" w:line="240" w:lineRule="auto"/>
        <w:rPr>
          <w:rFonts w:ascii="Book Antiqua" w:eastAsia="Times New Roman" w:hAnsi="Book Antiqua" w:cs="Times New Roman"/>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Agents des sociétés d’Etat et des établissements publics de l’Etat chargés de marchés publics ;</w:t>
      </w:r>
    </w:p>
    <w:p w14:paraId="6E21F208" w14:textId="77777777" w:rsidR="007D4FF8" w:rsidRPr="007D4FF8" w:rsidRDefault="007D4FF8" w:rsidP="007D4FF8">
      <w:pPr>
        <w:numPr>
          <w:ilvl w:val="0"/>
          <w:numId w:val="3"/>
        </w:numPr>
        <w:spacing w:after="0" w:line="240" w:lineRule="auto"/>
        <w:rPr>
          <w:rFonts w:ascii="Book Antiqua" w:eastAsia="Times New Roman" w:hAnsi="Book Antiqua" w:cs="Times New Roman"/>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Acteurs judiciaires (Magistrats, Avocats, Notaires, Huissiers, …) ;</w:t>
      </w:r>
    </w:p>
    <w:p w14:paraId="274F0DAD" w14:textId="77777777" w:rsidR="007D4FF8" w:rsidRPr="007D4FF8" w:rsidRDefault="007D4FF8" w:rsidP="007D4FF8">
      <w:pPr>
        <w:numPr>
          <w:ilvl w:val="0"/>
          <w:numId w:val="3"/>
        </w:numPr>
        <w:spacing w:after="0" w:line="240" w:lineRule="auto"/>
        <w:rPr>
          <w:rFonts w:ascii="Book Antiqua" w:eastAsia="Times New Roman" w:hAnsi="Book Antiqua" w:cs="Times New Roman"/>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Arbitres et médiateurs ;</w:t>
      </w:r>
    </w:p>
    <w:p w14:paraId="4465D272" w14:textId="363B4FE0" w:rsidR="007D4FF8" w:rsidRPr="007D4FF8" w:rsidRDefault="007D4FF8" w:rsidP="007D4FF8">
      <w:pPr>
        <w:numPr>
          <w:ilvl w:val="0"/>
          <w:numId w:val="3"/>
        </w:numPr>
        <w:spacing w:after="0" w:line="240" w:lineRule="auto"/>
        <w:rPr>
          <w:rFonts w:ascii="Book Antiqua" w:eastAsia="Times New Roman" w:hAnsi="Book Antiqua" w:cs="Times New Roman"/>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Praticiens du droit en général.</w:t>
      </w:r>
    </w:p>
    <w:p w14:paraId="2910D516" w14:textId="77777777" w:rsidR="007D4FF8" w:rsidRPr="007D4FF8" w:rsidRDefault="007D4FF8" w:rsidP="007D4FF8">
      <w:pPr>
        <w:spacing w:after="0" w:line="240" w:lineRule="auto"/>
        <w:ind w:left="720"/>
        <w:rPr>
          <w:rFonts w:ascii="Book Antiqua" w:eastAsia="Times New Roman" w:hAnsi="Book Antiqua" w:cs="Times New Roman"/>
          <w:kern w:val="0"/>
          <w:sz w:val="16"/>
          <w:szCs w:val="16"/>
          <w:lang w:eastAsia="fr-FR"/>
          <w14:ligatures w14:val="none"/>
        </w:rPr>
      </w:pPr>
    </w:p>
    <w:p w14:paraId="1F53B660" w14:textId="2AF8804C" w:rsidR="007D4FF8" w:rsidRPr="007D4FF8" w:rsidRDefault="007D4FF8" w:rsidP="007D4FF8">
      <w:pPr>
        <w:pStyle w:val="Sansinterligne"/>
        <w:jc w:val="both"/>
        <w:rPr>
          <w:rFonts w:ascii="Book Antiqua" w:hAnsi="Book Antiqua" w:cs="Arial"/>
          <w:b/>
          <w:sz w:val="20"/>
          <w:szCs w:val="20"/>
          <w:lang w:eastAsia="fr-FR"/>
        </w:rPr>
      </w:pPr>
      <w:r w:rsidRPr="007D4FF8">
        <w:rPr>
          <w:rFonts w:ascii="Book Antiqua" w:hAnsi="Book Antiqua" w:cs="Arial"/>
          <w:b/>
          <w:sz w:val="20"/>
          <w:szCs w:val="20"/>
          <w:lang w:eastAsia="fr-FR"/>
        </w:rPr>
        <w:t>N.B. : Dans le souci d’assurer une certaine commodité aux auditeurs, le nombre de place est limité à 25 participants.</w:t>
      </w:r>
    </w:p>
    <w:p w14:paraId="7E688D44" w14:textId="77777777" w:rsidR="007D4FF8" w:rsidRPr="007D4FF8" w:rsidRDefault="007D4FF8" w:rsidP="007D4FF8">
      <w:pPr>
        <w:keepNext/>
        <w:keepLines/>
        <w:numPr>
          <w:ilvl w:val="0"/>
          <w:numId w:val="1"/>
        </w:numPr>
        <w:spacing w:after="0" w:line="240" w:lineRule="auto"/>
        <w:outlineLvl w:val="1"/>
        <w:rPr>
          <w:rFonts w:ascii="Book Antiqua" w:eastAsia="Times New Roman" w:hAnsi="Book Antiqua" w:cs="Arial"/>
          <w:b/>
          <w:bCs/>
          <w:color w:val="C00000"/>
          <w:kern w:val="0"/>
          <w:sz w:val="20"/>
          <w:szCs w:val="20"/>
          <w:lang w:eastAsia="fr-FR"/>
          <w14:ligatures w14:val="none"/>
        </w:rPr>
      </w:pPr>
      <w:r w:rsidRPr="007D4FF8">
        <w:rPr>
          <w:rFonts w:ascii="Book Antiqua" w:eastAsia="Times New Roman" w:hAnsi="Book Antiqua" w:cs="Arial"/>
          <w:b/>
          <w:bCs/>
          <w:color w:val="C00000"/>
          <w:kern w:val="0"/>
          <w:sz w:val="20"/>
          <w:szCs w:val="20"/>
          <w:lang w:eastAsia="fr-FR"/>
          <w14:ligatures w14:val="none"/>
        </w:rPr>
        <w:t>FRAIS DE PARTICIPATION</w:t>
      </w:r>
    </w:p>
    <w:p w14:paraId="0C0058C0" w14:textId="7EC5BF5F" w:rsidR="007D4FF8" w:rsidRPr="007D4FF8" w:rsidRDefault="007D4FF8" w:rsidP="007D4FF8">
      <w:pPr>
        <w:spacing w:after="0" w:line="240" w:lineRule="auto"/>
        <w:jc w:val="both"/>
        <w:rPr>
          <w:rFonts w:ascii="Book Antiqua" w:eastAsia="Times New Roman" w:hAnsi="Book Antiqua" w:cs="Times New Roman"/>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La contribution aux frais de formation est arrêtée à la somme de trois cent mille (300 000) F CFA</w:t>
      </w:r>
      <w:r w:rsidR="00C06560">
        <w:rPr>
          <w:rFonts w:ascii="Book Antiqua" w:eastAsia="Times New Roman" w:hAnsi="Book Antiqua" w:cs="Times New Roman"/>
          <w:kern w:val="0"/>
          <w:sz w:val="20"/>
          <w:szCs w:val="20"/>
          <w:lang w:eastAsia="fr-FR"/>
          <w14:ligatures w14:val="none"/>
        </w:rPr>
        <w:t xml:space="preserve"> HT</w:t>
      </w:r>
      <w:r w:rsidRPr="007D4FF8">
        <w:rPr>
          <w:rFonts w:ascii="Book Antiqua" w:eastAsia="Times New Roman" w:hAnsi="Book Antiqua" w:cs="Times New Roman"/>
          <w:kern w:val="0"/>
          <w:sz w:val="20"/>
          <w:szCs w:val="20"/>
          <w:lang w:eastAsia="fr-FR"/>
          <w14:ligatures w14:val="none"/>
        </w:rPr>
        <w:t xml:space="preserve"> et donne droit aux collations (pause-café et déjeuner), cahier du participant et à une attestation de participation.</w:t>
      </w:r>
    </w:p>
    <w:p w14:paraId="78F7CC1A" w14:textId="77777777" w:rsidR="007D4FF8" w:rsidRPr="007D4FF8" w:rsidRDefault="007D4FF8" w:rsidP="007D4FF8">
      <w:pPr>
        <w:spacing w:after="0" w:line="240" w:lineRule="auto"/>
        <w:jc w:val="both"/>
        <w:rPr>
          <w:rFonts w:ascii="Book Antiqua" w:eastAsia="Times New Roman" w:hAnsi="Book Antiqua" w:cs="Times New Roman"/>
          <w:kern w:val="0"/>
          <w:sz w:val="16"/>
          <w:szCs w:val="16"/>
          <w:lang w:eastAsia="fr-FR"/>
          <w14:ligatures w14:val="none"/>
        </w:rPr>
      </w:pPr>
    </w:p>
    <w:p w14:paraId="555E0073" w14:textId="77777777" w:rsidR="007D4FF8" w:rsidRPr="007D4FF8" w:rsidRDefault="007D4FF8" w:rsidP="007D4FF8">
      <w:pPr>
        <w:numPr>
          <w:ilvl w:val="0"/>
          <w:numId w:val="1"/>
        </w:numPr>
        <w:spacing w:after="0" w:line="240" w:lineRule="auto"/>
        <w:contextualSpacing/>
        <w:jc w:val="both"/>
        <w:rPr>
          <w:rFonts w:ascii="Book Antiqua" w:eastAsia="Times New Roman" w:hAnsi="Book Antiqua" w:cs="Times New Roman"/>
          <w:b/>
          <w:bCs/>
          <w:color w:val="C00000"/>
          <w:kern w:val="0"/>
          <w:sz w:val="20"/>
          <w:szCs w:val="20"/>
          <w:lang w:eastAsia="fr-FR"/>
          <w14:ligatures w14:val="none"/>
        </w:rPr>
      </w:pPr>
      <w:r w:rsidRPr="007D4FF8">
        <w:rPr>
          <w:rFonts w:ascii="Book Antiqua" w:eastAsia="Times New Roman" w:hAnsi="Book Antiqua" w:cs="Times New Roman"/>
          <w:b/>
          <w:bCs/>
          <w:color w:val="C00000"/>
          <w:kern w:val="0"/>
          <w:sz w:val="20"/>
          <w:szCs w:val="20"/>
          <w:lang w:eastAsia="fr-FR"/>
          <w14:ligatures w14:val="none"/>
        </w:rPr>
        <w:t>FORMATEURS</w:t>
      </w:r>
    </w:p>
    <w:p w14:paraId="12441120" w14:textId="17A7B382" w:rsidR="007D4FF8" w:rsidRPr="007D4FF8" w:rsidRDefault="007D4FF8" w:rsidP="007D4FF8">
      <w:pPr>
        <w:spacing w:after="0" w:line="240" w:lineRule="auto"/>
        <w:jc w:val="both"/>
        <w:rPr>
          <w:rFonts w:ascii="Book Antiqua" w:eastAsia="Times New Roman" w:hAnsi="Book Antiqua" w:cs="Times New Roman"/>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La formation sera assurée par des formateurs expérimentés (Trois formateurs), enseignants et experts en négociation et rédaction de contrats internationaux, en arbitrage et médiation, ayant une parfaite connaissance des procédures arbitrales et des processus de médiation à l’international et dans l’espace OHADA.</w:t>
      </w:r>
    </w:p>
    <w:p w14:paraId="5851A7D4" w14:textId="77777777" w:rsidR="007D4FF8" w:rsidRPr="007D4FF8" w:rsidRDefault="007D4FF8" w:rsidP="007D4FF8">
      <w:pPr>
        <w:spacing w:after="0" w:line="240" w:lineRule="auto"/>
        <w:jc w:val="both"/>
        <w:rPr>
          <w:rFonts w:ascii="Book Antiqua" w:eastAsia="Times New Roman" w:hAnsi="Book Antiqua" w:cs="Times New Roman"/>
          <w:kern w:val="0"/>
          <w:sz w:val="16"/>
          <w:szCs w:val="16"/>
          <w:lang w:eastAsia="fr-FR"/>
          <w14:ligatures w14:val="none"/>
        </w:rPr>
      </w:pPr>
    </w:p>
    <w:p w14:paraId="4FA05A7D" w14:textId="77777777" w:rsidR="007D4FF8" w:rsidRPr="007D4FF8" w:rsidRDefault="007D4FF8" w:rsidP="007D4FF8">
      <w:pPr>
        <w:numPr>
          <w:ilvl w:val="0"/>
          <w:numId w:val="1"/>
        </w:numPr>
        <w:spacing w:after="0" w:line="240" w:lineRule="auto"/>
        <w:contextualSpacing/>
        <w:jc w:val="both"/>
        <w:rPr>
          <w:rFonts w:ascii="Book Antiqua" w:eastAsia="Times New Roman" w:hAnsi="Book Antiqua" w:cs="Times New Roman"/>
          <w:b/>
          <w:bCs/>
          <w:color w:val="C00000"/>
          <w:kern w:val="0"/>
          <w:sz w:val="20"/>
          <w:szCs w:val="20"/>
          <w:lang w:eastAsia="fr-FR"/>
          <w14:ligatures w14:val="none"/>
        </w:rPr>
      </w:pPr>
      <w:r w:rsidRPr="007D4FF8">
        <w:rPr>
          <w:rFonts w:ascii="Book Antiqua" w:eastAsia="Times New Roman" w:hAnsi="Book Antiqua" w:cs="Times New Roman"/>
          <w:b/>
          <w:bCs/>
          <w:color w:val="C00000"/>
          <w:kern w:val="0"/>
          <w:sz w:val="20"/>
          <w:szCs w:val="20"/>
          <w:lang w:eastAsia="fr-FR"/>
          <w14:ligatures w14:val="none"/>
        </w:rPr>
        <w:t>PERIODE DE LA FORMATION</w:t>
      </w:r>
    </w:p>
    <w:p w14:paraId="55BC4B85" w14:textId="77777777" w:rsidR="007D4FF8" w:rsidRPr="007D4FF8" w:rsidRDefault="007D4FF8" w:rsidP="007D4FF8">
      <w:pPr>
        <w:spacing w:after="0" w:line="240" w:lineRule="auto"/>
        <w:jc w:val="both"/>
        <w:rPr>
          <w:rFonts w:ascii="Book Antiqua" w:eastAsia="Times New Roman" w:hAnsi="Book Antiqua" w:cs="Times New Roman"/>
          <w:kern w:val="0"/>
          <w:sz w:val="20"/>
          <w:szCs w:val="20"/>
          <w:lang w:eastAsia="fr-FR"/>
          <w14:ligatures w14:val="none"/>
        </w:rPr>
      </w:pPr>
      <w:r w:rsidRPr="007D4FF8">
        <w:rPr>
          <w:rFonts w:ascii="Book Antiqua" w:eastAsia="Times New Roman" w:hAnsi="Book Antiqua" w:cs="Times New Roman"/>
          <w:kern w:val="0"/>
          <w:sz w:val="20"/>
          <w:szCs w:val="20"/>
          <w:lang w:eastAsia="fr-FR"/>
          <w14:ligatures w14:val="none"/>
        </w:rPr>
        <w:t xml:space="preserve">La session de formation est prévue pour se dérouler </w:t>
      </w:r>
      <w:r w:rsidRPr="007D4FF8">
        <w:rPr>
          <w:rFonts w:ascii="Book Antiqua" w:eastAsia="Times New Roman" w:hAnsi="Book Antiqua" w:cs="Times New Roman"/>
          <w:b/>
          <w:color w:val="FF0000"/>
          <w:kern w:val="0"/>
          <w:sz w:val="20"/>
          <w:szCs w:val="20"/>
          <w:u w:val="single"/>
          <w:lang w:eastAsia="fr-FR"/>
          <w14:ligatures w14:val="none"/>
        </w:rPr>
        <w:t>du 10 au 12 novembre 2026</w:t>
      </w:r>
      <w:r w:rsidRPr="007D4FF8">
        <w:rPr>
          <w:rFonts w:ascii="Book Antiqua" w:eastAsia="Times New Roman" w:hAnsi="Book Antiqua" w:cs="Times New Roman"/>
          <w:color w:val="FF0000"/>
          <w:kern w:val="0"/>
          <w:sz w:val="20"/>
          <w:szCs w:val="20"/>
          <w:lang w:eastAsia="fr-FR"/>
          <w14:ligatures w14:val="none"/>
        </w:rPr>
        <w:t xml:space="preserve"> </w:t>
      </w:r>
      <w:r w:rsidRPr="007D4FF8">
        <w:rPr>
          <w:rFonts w:ascii="Book Antiqua" w:eastAsia="Times New Roman" w:hAnsi="Book Antiqua" w:cs="Times New Roman"/>
          <w:kern w:val="0"/>
          <w:sz w:val="20"/>
          <w:szCs w:val="20"/>
          <w:lang w:eastAsia="fr-FR"/>
          <w14:ligatures w14:val="none"/>
        </w:rPr>
        <w:t>à Koudougou dans la salle de conférence de l’Hôtel Excellence.</w:t>
      </w:r>
    </w:p>
    <w:p w14:paraId="33AA0C8D" w14:textId="77777777" w:rsidR="007D4FF8" w:rsidRPr="007D4FF8" w:rsidRDefault="007D4FF8" w:rsidP="007D4FF8">
      <w:pPr>
        <w:shd w:val="clear" w:color="auto" w:fill="FFFFFF"/>
        <w:spacing w:before="120" w:after="120" w:line="360" w:lineRule="auto"/>
        <w:contextualSpacing/>
        <w:jc w:val="both"/>
        <w:rPr>
          <w:rFonts w:ascii="Arial" w:eastAsia="Times New Roman" w:hAnsi="Arial" w:cs="Arial"/>
          <w:b/>
          <w:kern w:val="0"/>
          <w:sz w:val="24"/>
          <w:szCs w:val="24"/>
          <w:lang w:eastAsia="fr-FR"/>
          <w14:ligatures w14:val="none"/>
        </w:rPr>
      </w:pPr>
    </w:p>
    <w:p w14:paraId="2783DD09" w14:textId="77777777" w:rsidR="00203CC1" w:rsidRDefault="00203CC1"/>
    <w:sectPr w:rsidR="00203C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E4BB0" w14:textId="77777777" w:rsidR="00114E91" w:rsidRDefault="00114E91" w:rsidP="007D4FF8">
      <w:pPr>
        <w:spacing w:after="0" w:line="240" w:lineRule="auto"/>
      </w:pPr>
      <w:r>
        <w:separator/>
      </w:r>
    </w:p>
  </w:endnote>
  <w:endnote w:type="continuationSeparator" w:id="0">
    <w:p w14:paraId="0DC458F0" w14:textId="77777777" w:rsidR="00114E91" w:rsidRDefault="00114E91" w:rsidP="007D4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8B8BE" w14:textId="77777777" w:rsidR="00114E91" w:rsidRDefault="00114E91" w:rsidP="007D4FF8">
      <w:pPr>
        <w:spacing w:after="0" w:line="240" w:lineRule="auto"/>
      </w:pPr>
      <w:r>
        <w:separator/>
      </w:r>
    </w:p>
  </w:footnote>
  <w:footnote w:type="continuationSeparator" w:id="0">
    <w:p w14:paraId="2E4DCF72" w14:textId="77777777" w:rsidR="00114E91" w:rsidRDefault="00114E91" w:rsidP="007D4FF8">
      <w:pPr>
        <w:spacing w:after="0" w:line="240" w:lineRule="auto"/>
      </w:pPr>
      <w:r>
        <w:continuationSeparator/>
      </w:r>
    </w:p>
  </w:footnote>
  <w:footnote w:id="1">
    <w:p w14:paraId="1DB051E5" w14:textId="77777777" w:rsidR="007D4FF8" w:rsidRPr="006B70CF" w:rsidRDefault="007D4FF8" w:rsidP="007D4FF8">
      <w:pPr>
        <w:pStyle w:val="Notedebasdepage"/>
        <w:rPr>
          <w:rFonts w:ascii="Times New Roman" w:hAnsi="Times New Roman" w:cs="Times New Roman"/>
        </w:rPr>
      </w:pPr>
      <w:r w:rsidRPr="006E71CC">
        <w:rPr>
          <w:rStyle w:val="Appelnotedebasdep"/>
        </w:rPr>
        <w:footnoteRef/>
      </w:r>
      <w:r>
        <w:t xml:space="preserve"> </w:t>
      </w:r>
      <w:r w:rsidRPr="006B70CF">
        <w:rPr>
          <w:rFonts w:ascii="Times New Roman" w:hAnsi="Times New Roman" w:cs="Times New Roman"/>
        </w:rPr>
        <w:t>La saisine des juridictions étatiques est prévue dans le cas des différends entre Etats.</w:t>
      </w:r>
    </w:p>
  </w:footnote>
  <w:footnote w:id="2">
    <w:p w14:paraId="61852DFB" w14:textId="77777777" w:rsidR="007D4FF8" w:rsidRDefault="007D4FF8" w:rsidP="007D4FF8">
      <w:pPr>
        <w:pStyle w:val="Notedebasdepage"/>
      </w:pPr>
      <w:r w:rsidRPr="006B70CF">
        <w:rPr>
          <w:rStyle w:val="Appelnotedebasdep"/>
          <w:rFonts w:ascii="Times New Roman" w:hAnsi="Times New Roman" w:cs="Times New Roman"/>
        </w:rPr>
        <w:footnoteRef/>
      </w:r>
      <w:r w:rsidRPr="006B70CF">
        <w:rPr>
          <w:rFonts w:ascii="Times New Roman" w:hAnsi="Times New Roman" w:cs="Times New Roman"/>
        </w:rPr>
        <w:t xml:space="preserve"> Le CAMC-O offre de grands avantages, tant du point de vue de la modernité de ses textes que de celui des coûts de procédures, notamment l’arbitrage et la médiation.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52249"/>
    <w:multiLevelType w:val="hybridMultilevel"/>
    <w:tmpl w:val="D354B34A"/>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7264FA2"/>
    <w:multiLevelType w:val="hybridMultilevel"/>
    <w:tmpl w:val="8C64580E"/>
    <w:lvl w:ilvl="0" w:tplc="040C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B327F70"/>
    <w:multiLevelType w:val="hybridMultilevel"/>
    <w:tmpl w:val="38F6C66A"/>
    <w:lvl w:ilvl="0" w:tplc="F248734A">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2C9F0077"/>
    <w:multiLevelType w:val="hybridMultilevel"/>
    <w:tmpl w:val="E6864514"/>
    <w:lvl w:ilvl="0" w:tplc="9C0AD81C">
      <w:start w:val="70"/>
      <w:numFmt w:val="bullet"/>
      <w:lvlText w:val="-"/>
      <w:lvlJc w:val="left"/>
      <w:pPr>
        <w:ind w:left="720" w:hanging="360"/>
      </w:pPr>
      <w:rPr>
        <w:rFonts w:ascii="Calibri" w:eastAsiaTheme="minorEastAsia"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5B481795"/>
    <w:multiLevelType w:val="hybridMultilevel"/>
    <w:tmpl w:val="B1D6DE9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1724792134">
    <w:abstractNumId w:val="2"/>
  </w:num>
  <w:num w:numId="2" w16cid:durableId="1852989160">
    <w:abstractNumId w:val="3"/>
  </w:num>
  <w:num w:numId="3" w16cid:durableId="671954247">
    <w:abstractNumId w:val="1"/>
  </w:num>
  <w:num w:numId="4" w16cid:durableId="1444492740">
    <w:abstractNumId w:val="4"/>
  </w:num>
  <w:num w:numId="5" w16cid:durableId="986322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FF8"/>
    <w:rsid w:val="000D431B"/>
    <w:rsid w:val="00114E91"/>
    <w:rsid w:val="00203CC1"/>
    <w:rsid w:val="002344FC"/>
    <w:rsid w:val="003A205C"/>
    <w:rsid w:val="00687195"/>
    <w:rsid w:val="006B70CF"/>
    <w:rsid w:val="007D4FF8"/>
    <w:rsid w:val="007E50D2"/>
    <w:rsid w:val="00C06560"/>
    <w:rsid w:val="00D31783"/>
    <w:rsid w:val="00D45343"/>
    <w:rsid w:val="00DC18AC"/>
    <w:rsid w:val="00EB1FDD"/>
    <w:rsid w:val="00EF62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BEC36"/>
  <w15:chartTrackingRefBased/>
  <w15:docId w15:val="{E68B4056-7177-4883-B71A-E0DC667F2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D4FF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7D4FF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7D4FF8"/>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7D4FF8"/>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7D4FF8"/>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7D4F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D4F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D4F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D4F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D4FF8"/>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7D4FF8"/>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7D4FF8"/>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7D4FF8"/>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7D4FF8"/>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7D4F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D4F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D4F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D4FF8"/>
    <w:rPr>
      <w:rFonts w:eastAsiaTheme="majorEastAsia" w:cstheme="majorBidi"/>
      <w:color w:val="272727" w:themeColor="text1" w:themeTint="D8"/>
    </w:rPr>
  </w:style>
  <w:style w:type="paragraph" w:styleId="Titre">
    <w:name w:val="Title"/>
    <w:basedOn w:val="Normal"/>
    <w:next w:val="Normal"/>
    <w:link w:val="TitreCar"/>
    <w:uiPriority w:val="10"/>
    <w:qFormat/>
    <w:rsid w:val="007D4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D4F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D4F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D4F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D4FF8"/>
    <w:pPr>
      <w:spacing w:before="160"/>
      <w:jc w:val="center"/>
    </w:pPr>
    <w:rPr>
      <w:i/>
      <w:iCs/>
      <w:color w:val="404040" w:themeColor="text1" w:themeTint="BF"/>
    </w:rPr>
  </w:style>
  <w:style w:type="character" w:customStyle="1" w:styleId="CitationCar">
    <w:name w:val="Citation Car"/>
    <w:basedOn w:val="Policepardfaut"/>
    <w:link w:val="Citation"/>
    <w:uiPriority w:val="29"/>
    <w:rsid w:val="007D4FF8"/>
    <w:rPr>
      <w:i/>
      <w:iCs/>
      <w:color w:val="404040" w:themeColor="text1" w:themeTint="BF"/>
    </w:rPr>
  </w:style>
  <w:style w:type="paragraph" w:styleId="Paragraphedeliste">
    <w:name w:val="List Paragraph"/>
    <w:basedOn w:val="Normal"/>
    <w:uiPriority w:val="34"/>
    <w:qFormat/>
    <w:rsid w:val="007D4FF8"/>
    <w:pPr>
      <w:ind w:left="720"/>
      <w:contextualSpacing/>
    </w:pPr>
  </w:style>
  <w:style w:type="character" w:styleId="Accentuationintense">
    <w:name w:val="Intense Emphasis"/>
    <w:basedOn w:val="Policepardfaut"/>
    <w:uiPriority w:val="21"/>
    <w:qFormat/>
    <w:rsid w:val="007D4FF8"/>
    <w:rPr>
      <w:i/>
      <w:iCs/>
      <w:color w:val="2E74B5" w:themeColor="accent1" w:themeShade="BF"/>
    </w:rPr>
  </w:style>
  <w:style w:type="paragraph" w:styleId="Citationintense">
    <w:name w:val="Intense Quote"/>
    <w:basedOn w:val="Normal"/>
    <w:next w:val="Normal"/>
    <w:link w:val="CitationintenseCar"/>
    <w:uiPriority w:val="30"/>
    <w:qFormat/>
    <w:rsid w:val="007D4FF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7D4FF8"/>
    <w:rPr>
      <w:i/>
      <w:iCs/>
      <w:color w:val="2E74B5" w:themeColor="accent1" w:themeShade="BF"/>
    </w:rPr>
  </w:style>
  <w:style w:type="character" w:styleId="Rfrenceintense">
    <w:name w:val="Intense Reference"/>
    <w:basedOn w:val="Policepardfaut"/>
    <w:uiPriority w:val="32"/>
    <w:qFormat/>
    <w:rsid w:val="007D4FF8"/>
    <w:rPr>
      <w:b/>
      <w:bCs/>
      <w:smallCaps/>
      <w:color w:val="2E74B5" w:themeColor="accent1" w:themeShade="BF"/>
      <w:spacing w:val="5"/>
    </w:rPr>
  </w:style>
  <w:style w:type="paragraph" w:styleId="Notedebasdepage">
    <w:name w:val="footnote text"/>
    <w:basedOn w:val="Normal"/>
    <w:link w:val="NotedebasdepageCar"/>
    <w:uiPriority w:val="99"/>
    <w:semiHidden/>
    <w:unhideWhenUsed/>
    <w:rsid w:val="007D4FF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D4FF8"/>
    <w:rPr>
      <w:sz w:val="20"/>
      <w:szCs w:val="20"/>
    </w:rPr>
  </w:style>
  <w:style w:type="character" w:styleId="Appelnotedebasdep">
    <w:name w:val="footnote reference"/>
    <w:basedOn w:val="Policepardfaut"/>
    <w:uiPriority w:val="99"/>
    <w:semiHidden/>
    <w:unhideWhenUsed/>
    <w:rsid w:val="007D4FF8"/>
    <w:rPr>
      <w:vertAlign w:val="superscript"/>
    </w:rPr>
  </w:style>
  <w:style w:type="table" w:customStyle="1" w:styleId="Grilledutableau1">
    <w:name w:val="Grille du tableau1"/>
    <w:basedOn w:val="TableauNormal"/>
    <w:next w:val="Grilledutableau"/>
    <w:uiPriority w:val="39"/>
    <w:rsid w:val="007D4FF8"/>
    <w:pPr>
      <w:spacing w:after="0" w:line="240" w:lineRule="auto"/>
    </w:pPr>
    <w:rPr>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7D4F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7D4F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850</Words>
  <Characters>4676</Characters>
  <Application>Microsoft Office Word</Application>
  <DocSecurity>0</DocSecurity>
  <Lines>38</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Drissa COULIBALY</dc:creator>
  <cp:keywords/>
  <dc:description/>
  <cp:lastModifiedBy>Michel.N BAZOUM</cp:lastModifiedBy>
  <cp:revision>6</cp:revision>
  <dcterms:created xsi:type="dcterms:W3CDTF">2026-10-09T12:07:00Z</dcterms:created>
  <dcterms:modified xsi:type="dcterms:W3CDTF">2026-10-14T08:40:00Z</dcterms:modified>
</cp:coreProperties>
</file>